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AF46" w14:textId="77777777" w:rsidR="00873176" w:rsidRDefault="008F2A6A">
      <w:pPr>
        <w:tabs>
          <w:tab w:val="center" w:pos="2003"/>
          <w:tab w:val="center" w:pos="2401"/>
          <w:tab w:val="center" w:pos="2770"/>
          <w:tab w:val="center" w:pos="3153"/>
          <w:tab w:val="center" w:pos="3543"/>
          <w:tab w:val="center" w:pos="3924"/>
          <w:tab w:val="center" w:pos="4274"/>
          <w:tab w:val="center" w:pos="4633"/>
          <w:tab w:val="center" w:pos="5031"/>
          <w:tab w:val="center" w:pos="5416"/>
          <w:tab w:val="center" w:pos="5737"/>
          <w:tab w:val="center" w:pos="6125"/>
          <w:tab w:val="center" w:pos="6516"/>
          <w:tab w:val="center" w:pos="6907"/>
          <w:tab w:val="center" w:pos="7303"/>
          <w:tab w:val="center" w:pos="7694"/>
          <w:tab w:val="center" w:pos="8088"/>
          <w:tab w:val="center" w:pos="8449"/>
          <w:tab w:val="center" w:pos="8794"/>
          <w:tab w:val="center" w:pos="9164"/>
          <w:tab w:val="center" w:pos="9484"/>
        </w:tabs>
        <w:spacing w:after="0" w:line="259" w:lineRule="auto"/>
        <w:ind w:left="0" w:right="0" w:firstLine="0"/>
        <w:jc w:val="left"/>
      </w:pPr>
      <w:r>
        <w:rPr>
          <w:rFonts w:ascii="Calibri" w:eastAsia="Calibri" w:hAnsi="Calibri" w:cs="Calibri"/>
          <w:sz w:val="22"/>
        </w:rPr>
        <w:tab/>
      </w:r>
      <w:r>
        <w:t>R</w:t>
      </w:r>
      <w:r>
        <w:tab/>
      </w:r>
      <w:r>
        <w:rPr>
          <w:sz w:val="19"/>
        </w:rPr>
        <w:t>E</w:t>
      </w:r>
      <w:r>
        <w:rPr>
          <w:sz w:val="19"/>
        </w:rPr>
        <w:tab/>
        <w:t>P</w:t>
      </w:r>
      <w:r>
        <w:rPr>
          <w:sz w:val="19"/>
        </w:rPr>
        <w:tab/>
        <w:t>U</w:t>
      </w:r>
      <w:r>
        <w:rPr>
          <w:sz w:val="19"/>
        </w:rPr>
        <w:tab/>
        <w:t>B</w:t>
      </w:r>
      <w:r>
        <w:rPr>
          <w:sz w:val="19"/>
        </w:rPr>
        <w:tab/>
        <w:t>L</w:t>
      </w:r>
      <w:r>
        <w:rPr>
          <w:sz w:val="19"/>
        </w:rPr>
        <w:tab/>
        <w:t>I</w:t>
      </w:r>
      <w:r>
        <w:rPr>
          <w:sz w:val="19"/>
        </w:rPr>
        <w:tab/>
        <w:t>Q</w:t>
      </w:r>
      <w:r>
        <w:rPr>
          <w:sz w:val="19"/>
        </w:rPr>
        <w:tab/>
        <w:t>U</w:t>
      </w:r>
      <w:r>
        <w:rPr>
          <w:sz w:val="19"/>
        </w:rPr>
        <w:tab/>
        <w:t>E</w:t>
      </w:r>
      <w:r>
        <w:rPr>
          <w:sz w:val="19"/>
        </w:rPr>
        <w:tab/>
      </w:r>
      <w:r>
        <w:t xml:space="preserve"> </w:t>
      </w:r>
      <w:r>
        <w:tab/>
        <w:t>F</w:t>
      </w:r>
      <w:r>
        <w:tab/>
      </w:r>
      <w:r>
        <w:rPr>
          <w:sz w:val="19"/>
        </w:rPr>
        <w:t>R</w:t>
      </w:r>
      <w:r>
        <w:rPr>
          <w:sz w:val="19"/>
        </w:rPr>
        <w:tab/>
        <w:t>A</w:t>
      </w:r>
      <w:r>
        <w:rPr>
          <w:sz w:val="19"/>
        </w:rPr>
        <w:tab/>
        <w:t>N</w:t>
      </w:r>
      <w:r>
        <w:rPr>
          <w:sz w:val="19"/>
        </w:rPr>
        <w:tab/>
        <w:t>Ç</w:t>
      </w:r>
      <w:r>
        <w:rPr>
          <w:sz w:val="19"/>
        </w:rPr>
        <w:tab/>
        <w:t>A</w:t>
      </w:r>
      <w:r>
        <w:rPr>
          <w:sz w:val="19"/>
        </w:rPr>
        <w:tab/>
        <w:t>I</w:t>
      </w:r>
      <w:r>
        <w:rPr>
          <w:sz w:val="19"/>
        </w:rPr>
        <w:tab/>
        <w:t>S</w:t>
      </w:r>
      <w:r>
        <w:rPr>
          <w:sz w:val="19"/>
        </w:rPr>
        <w:tab/>
        <w:t>E</w:t>
      </w:r>
      <w:r>
        <w:rPr>
          <w:sz w:val="19"/>
        </w:rPr>
        <w:tab/>
      </w:r>
      <w:r>
        <w:t xml:space="preserve">   </w:t>
      </w:r>
    </w:p>
    <w:p w14:paraId="44F4CD1F" w14:textId="77777777" w:rsidR="00873176" w:rsidRDefault="008F2A6A">
      <w:pPr>
        <w:spacing w:after="1491" w:line="259" w:lineRule="auto"/>
        <w:ind w:left="0" w:right="0" w:firstLine="0"/>
        <w:jc w:val="right"/>
      </w:pPr>
      <w:r>
        <w:rPr>
          <w:sz w:val="20"/>
        </w:rPr>
        <w:t xml:space="preserve"> </w:t>
      </w:r>
    </w:p>
    <w:p w14:paraId="7E6DFD0B" w14:textId="77777777" w:rsidR="00873176" w:rsidRDefault="008F2A6A">
      <w:pPr>
        <w:spacing w:after="234"/>
        <w:ind w:left="0" w:right="607" w:firstLine="230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2D1DF8" wp14:editId="48E39C12">
                <wp:simplePos x="0" y="0"/>
                <wp:positionH relativeFrom="column">
                  <wp:posOffset>-468553</wp:posOffset>
                </wp:positionH>
                <wp:positionV relativeFrom="paragraph">
                  <wp:posOffset>-730096</wp:posOffset>
                </wp:positionV>
                <wp:extent cx="1437640" cy="1761998"/>
                <wp:effectExtent l="0" t="0" r="0" b="0"/>
                <wp:wrapSquare wrapText="bothSides"/>
                <wp:docPr id="7418" name="Group 7418"/>
                <wp:cNvGraphicFramePr/>
                <a:graphic xmlns:a="http://schemas.openxmlformats.org/drawingml/2006/main">
                  <a:graphicData uri="http://schemas.microsoft.com/office/word/2010/wordprocessingGroup">
                    <wpg:wgp>
                      <wpg:cNvGrpSpPr/>
                      <wpg:grpSpPr>
                        <a:xfrm>
                          <a:off x="0" y="0"/>
                          <a:ext cx="1437640" cy="1761998"/>
                          <a:chOff x="0" y="0"/>
                          <a:chExt cx="1437640" cy="1761998"/>
                        </a:xfrm>
                      </wpg:grpSpPr>
                      <wps:wsp>
                        <wps:cNvPr id="186" name="Rectangle 186"/>
                        <wps:cNvSpPr/>
                        <wps:spPr>
                          <a:xfrm>
                            <a:off x="1081151" y="588365"/>
                            <a:ext cx="50673" cy="224380"/>
                          </a:xfrm>
                          <a:prstGeom prst="rect">
                            <a:avLst/>
                          </a:prstGeom>
                          <a:ln>
                            <a:noFill/>
                          </a:ln>
                        </wps:spPr>
                        <wps:txbx>
                          <w:txbxContent>
                            <w:p w14:paraId="41B12839" w14:textId="77777777" w:rsidR="00873176" w:rsidRDefault="008F2A6A">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7"/>
                          <a:stretch>
                            <a:fillRect/>
                          </a:stretch>
                        </pic:blipFill>
                        <pic:spPr>
                          <a:xfrm>
                            <a:off x="377190" y="0"/>
                            <a:ext cx="699770" cy="715645"/>
                          </a:xfrm>
                          <a:prstGeom prst="rect">
                            <a:avLst/>
                          </a:prstGeom>
                        </pic:spPr>
                      </pic:pic>
                      <pic:pic xmlns:pic="http://schemas.openxmlformats.org/drawingml/2006/picture">
                        <pic:nvPicPr>
                          <pic:cNvPr id="8662" name="Picture 8662"/>
                          <pic:cNvPicPr/>
                        </pic:nvPicPr>
                        <pic:blipFill>
                          <a:blip r:embed="rId8"/>
                          <a:stretch>
                            <a:fillRect/>
                          </a:stretch>
                        </pic:blipFill>
                        <pic:spPr>
                          <a:xfrm>
                            <a:off x="-4698" y="837184"/>
                            <a:ext cx="1444752" cy="926592"/>
                          </a:xfrm>
                          <a:prstGeom prst="rect">
                            <a:avLst/>
                          </a:prstGeom>
                        </pic:spPr>
                      </pic:pic>
                      <pic:pic xmlns:pic="http://schemas.openxmlformats.org/drawingml/2006/picture">
                        <pic:nvPicPr>
                          <pic:cNvPr id="191" name="Picture 191"/>
                          <pic:cNvPicPr/>
                        </pic:nvPicPr>
                        <pic:blipFill>
                          <a:blip r:embed="rId9"/>
                          <a:stretch>
                            <a:fillRect/>
                          </a:stretch>
                        </pic:blipFill>
                        <pic:spPr>
                          <a:xfrm>
                            <a:off x="381" y="864108"/>
                            <a:ext cx="1437132" cy="874776"/>
                          </a:xfrm>
                          <a:prstGeom prst="rect">
                            <a:avLst/>
                          </a:prstGeom>
                        </pic:spPr>
                      </pic:pic>
                      <wps:wsp>
                        <wps:cNvPr id="192" name="Rectangle 192"/>
                        <wps:cNvSpPr/>
                        <wps:spPr>
                          <a:xfrm>
                            <a:off x="535610" y="892061"/>
                            <a:ext cx="607292" cy="168284"/>
                          </a:xfrm>
                          <a:prstGeom prst="rect">
                            <a:avLst/>
                          </a:prstGeom>
                          <a:ln>
                            <a:noFill/>
                          </a:ln>
                        </wps:spPr>
                        <wps:txbx>
                          <w:txbxContent>
                            <w:p w14:paraId="54BE8FC6" w14:textId="77777777" w:rsidR="00873176" w:rsidRDefault="008F2A6A">
                              <w:pPr>
                                <w:spacing w:after="160" w:line="259" w:lineRule="auto"/>
                                <w:ind w:left="0" w:right="0" w:firstLine="0"/>
                                <w:jc w:val="left"/>
                              </w:pPr>
                              <w:r>
                                <w:rPr>
                                  <w:sz w:val="18"/>
                                </w:rPr>
                                <w:t>GROUPE</w:t>
                              </w:r>
                            </w:p>
                          </w:txbxContent>
                        </wps:txbx>
                        <wps:bodyPr horzOverflow="overflow" vert="horz" lIns="0" tIns="0" rIns="0" bIns="0" rtlCol="0">
                          <a:noAutofit/>
                        </wps:bodyPr>
                      </wps:wsp>
                      <wps:wsp>
                        <wps:cNvPr id="193" name="Rectangle 193"/>
                        <wps:cNvSpPr/>
                        <wps:spPr>
                          <a:xfrm>
                            <a:off x="992759" y="868976"/>
                            <a:ext cx="46619" cy="206430"/>
                          </a:xfrm>
                          <a:prstGeom prst="rect">
                            <a:avLst/>
                          </a:prstGeom>
                          <a:ln>
                            <a:noFill/>
                          </a:ln>
                        </wps:spPr>
                        <wps:txbx>
                          <w:txbxContent>
                            <w:p w14:paraId="3391AEFB" w14:textId="77777777" w:rsidR="00873176" w:rsidRDefault="008F2A6A">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4" name="Rectangle 194"/>
                        <wps:cNvSpPr/>
                        <wps:spPr>
                          <a:xfrm>
                            <a:off x="241478" y="1029221"/>
                            <a:ext cx="271022" cy="168284"/>
                          </a:xfrm>
                          <a:prstGeom prst="rect">
                            <a:avLst/>
                          </a:prstGeom>
                          <a:ln>
                            <a:noFill/>
                          </a:ln>
                        </wps:spPr>
                        <wps:txbx>
                          <w:txbxContent>
                            <w:p w14:paraId="55971FDA" w14:textId="77777777" w:rsidR="00873176" w:rsidRDefault="008F2A6A">
                              <w:pPr>
                                <w:spacing w:after="160" w:line="259" w:lineRule="auto"/>
                                <w:ind w:left="0" w:right="0" w:firstLine="0"/>
                                <w:jc w:val="left"/>
                              </w:pPr>
                              <w:r>
                                <w:rPr>
                                  <w:sz w:val="18"/>
                                </w:rPr>
                                <w:t>LES</w:t>
                              </w:r>
                            </w:p>
                          </w:txbxContent>
                        </wps:txbx>
                        <wps:bodyPr horzOverflow="overflow" vert="horz" lIns="0" tIns="0" rIns="0" bIns="0" rtlCol="0">
                          <a:noAutofit/>
                        </wps:bodyPr>
                      </wps:wsp>
                      <wps:wsp>
                        <wps:cNvPr id="195" name="Rectangle 195"/>
                        <wps:cNvSpPr/>
                        <wps:spPr>
                          <a:xfrm>
                            <a:off x="445694" y="1052305"/>
                            <a:ext cx="29390" cy="130140"/>
                          </a:xfrm>
                          <a:prstGeom prst="rect">
                            <a:avLst/>
                          </a:prstGeom>
                          <a:ln>
                            <a:noFill/>
                          </a:ln>
                        </wps:spPr>
                        <wps:txbx>
                          <w:txbxContent>
                            <w:p w14:paraId="257AB4F1" w14:textId="77777777" w:rsidR="00873176" w:rsidRDefault="008F2A6A">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196" name="Rectangle 196"/>
                        <wps:cNvSpPr/>
                        <wps:spPr>
                          <a:xfrm>
                            <a:off x="468554" y="1029221"/>
                            <a:ext cx="1087719" cy="168284"/>
                          </a:xfrm>
                          <a:prstGeom prst="rect">
                            <a:avLst/>
                          </a:prstGeom>
                          <a:ln>
                            <a:noFill/>
                          </a:ln>
                        </wps:spPr>
                        <wps:txbx>
                          <w:txbxContent>
                            <w:p w14:paraId="0B6CDAD2" w14:textId="77777777" w:rsidR="00873176" w:rsidRDefault="008F2A6A">
                              <w:pPr>
                                <w:spacing w:after="160" w:line="259" w:lineRule="auto"/>
                                <w:ind w:left="0" w:right="0" w:firstLine="0"/>
                                <w:jc w:val="left"/>
                              </w:pPr>
                              <w:proofErr w:type="spellStart"/>
                              <w:r>
                                <w:rPr>
                                  <w:sz w:val="18"/>
                                </w:rPr>
                                <w:t>REPUBLICAINS</w:t>
                              </w:r>
                              <w:proofErr w:type="spellEnd"/>
                            </w:p>
                          </w:txbxContent>
                        </wps:txbx>
                        <wps:bodyPr horzOverflow="overflow" vert="horz" lIns="0" tIns="0" rIns="0" bIns="0" rtlCol="0">
                          <a:noAutofit/>
                        </wps:bodyPr>
                      </wps:wsp>
                      <wps:wsp>
                        <wps:cNvPr id="197" name="Rectangle 197"/>
                        <wps:cNvSpPr/>
                        <wps:spPr>
                          <a:xfrm>
                            <a:off x="1286891" y="1029221"/>
                            <a:ext cx="38005" cy="168284"/>
                          </a:xfrm>
                          <a:prstGeom prst="rect">
                            <a:avLst/>
                          </a:prstGeom>
                          <a:ln>
                            <a:noFill/>
                          </a:ln>
                        </wps:spPr>
                        <wps:txbx>
                          <w:txbxContent>
                            <w:p w14:paraId="05EF63A3" w14:textId="77777777" w:rsidR="00873176" w:rsidRDefault="008F2A6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98" name="Rectangle 198"/>
                        <wps:cNvSpPr/>
                        <wps:spPr>
                          <a:xfrm>
                            <a:off x="588950" y="1161584"/>
                            <a:ext cx="466192" cy="206430"/>
                          </a:xfrm>
                          <a:prstGeom prst="rect">
                            <a:avLst/>
                          </a:prstGeom>
                          <a:ln>
                            <a:noFill/>
                          </a:ln>
                        </wps:spPr>
                        <wps:txbx>
                          <w:txbxContent>
                            <w:p w14:paraId="39A1134E" w14:textId="77777777" w:rsidR="00873176" w:rsidRDefault="008F2A6A">
                              <w:pPr>
                                <w:spacing w:after="160" w:line="259" w:lineRule="auto"/>
                                <w:ind w:left="0" w:right="0" w:firstLine="0"/>
                                <w:jc w:val="left"/>
                              </w:pPr>
                              <w:r>
                                <w:rPr>
                                  <w:sz w:val="22"/>
                                </w:rPr>
                                <w:t>_____</w:t>
                              </w:r>
                            </w:p>
                          </w:txbxContent>
                        </wps:txbx>
                        <wps:bodyPr horzOverflow="overflow" vert="horz" lIns="0" tIns="0" rIns="0" bIns="0" rtlCol="0">
                          <a:noAutofit/>
                        </wps:bodyPr>
                      </wps:wsp>
                      <wps:wsp>
                        <wps:cNvPr id="199" name="Rectangle 199"/>
                        <wps:cNvSpPr/>
                        <wps:spPr>
                          <a:xfrm>
                            <a:off x="937895" y="1161584"/>
                            <a:ext cx="46619" cy="206430"/>
                          </a:xfrm>
                          <a:prstGeom prst="rect">
                            <a:avLst/>
                          </a:prstGeom>
                          <a:ln>
                            <a:noFill/>
                          </a:ln>
                        </wps:spPr>
                        <wps:txbx>
                          <w:txbxContent>
                            <w:p w14:paraId="6E12A75D" w14:textId="77777777" w:rsidR="00873176" w:rsidRDefault="008F2A6A">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0" name="Rectangle 200"/>
                        <wps:cNvSpPr/>
                        <wps:spPr>
                          <a:xfrm>
                            <a:off x="718490" y="1399134"/>
                            <a:ext cx="50673" cy="224380"/>
                          </a:xfrm>
                          <a:prstGeom prst="rect">
                            <a:avLst/>
                          </a:prstGeom>
                          <a:ln>
                            <a:noFill/>
                          </a:ln>
                        </wps:spPr>
                        <wps:txbx>
                          <w:txbxContent>
                            <w:p w14:paraId="3C044913" w14:textId="77777777" w:rsidR="00873176" w:rsidRDefault="008F2A6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418" style="width:113.2pt;height:138.74pt;position:absolute;mso-position-horizontal-relative:text;mso-position-horizontal:absolute;margin-left:-36.894pt;mso-position-vertical-relative:text;margin-top:-57.488pt;" coordsize="14376,17619">
                <v:rect id="Rectangle 186" style="position:absolute;width:506;height:2243;left:10811;top:5883;" filled="f" stroked="f">
                  <v:textbox inset="0,0,0,0">
                    <w:txbxContent>
                      <w:p>
                        <w:pPr>
                          <w:spacing w:before="0" w:after="160" w:line="259" w:lineRule="auto"/>
                          <w:ind w:left="0" w:right="0" w:firstLine="0"/>
                          <w:jc w:val="left"/>
                        </w:pPr>
                        <w:r>
                          <w:rPr/>
                          <w:t xml:space="preserve"> </w:t>
                        </w:r>
                      </w:p>
                    </w:txbxContent>
                  </v:textbox>
                </v:rect>
                <v:shape id="Picture 188" style="position:absolute;width:6997;height:7156;left:3771;top:0;" filled="f">
                  <v:imagedata r:id="rId10"/>
                </v:shape>
                <v:shape id="Picture 8662" style="position:absolute;width:14447;height:9265;left:-46;top:8371;" filled="f">
                  <v:imagedata r:id="rId11"/>
                </v:shape>
                <v:shape id="Picture 191" style="position:absolute;width:14371;height:8747;left:3;top:8641;" filled="f">
                  <v:imagedata r:id="rId12"/>
                </v:shape>
                <v:rect id="Rectangle 192" style="position:absolute;width:6072;height:1682;left:5356;top:8920;" filled="f" stroked="f">
                  <v:textbox inset="0,0,0,0">
                    <w:txbxContent>
                      <w:p>
                        <w:pPr>
                          <w:spacing w:before="0" w:after="160" w:line="259" w:lineRule="auto"/>
                          <w:ind w:left="0" w:right="0" w:firstLine="0"/>
                          <w:jc w:val="left"/>
                        </w:pPr>
                        <w:r>
                          <w:rPr>
                            <w:sz w:val="18"/>
                          </w:rPr>
                          <w:t xml:space="preserve">GROUPE</w:t>
                        </w:r>
                      </w:p>
                    </w:txbxContent>
                  </v:textbox>
                </v:rect>
                <v:rect id="Rectangle 193" style="position:absolute;width:466;height:2064;left:9927;top:8689;" filled="f" stroked="f">
                  <v:textbox inset="0,0,0,0">
                    <w:txbxContent>
                      <w:p>
                        <w:pPr>
                          <w:spacing w:before="0" w:after="160" w:line="259" w:lineRule="auto"/>
                          <w:ind w:left="0" w:right="0" w:firstLine="0"/>
                          <w:jc w:val="left"/>
                        </w:pPr>
                        <w:r>
                          <w:rPr>
                            <w:sz w:val="22"/>
                          </w:rPr>
                          <w:t xml:space="preserve"> </w:t>
                        </w:r>
                      </w:p>
                    </w:txbxContent>
                  </v:textbox>
                </v:rect>
                <v:rect id="Rectangle 194" style="position:absolute;width:2710;height:1682;left:2414;top:10292;" filled="f" stroked="f">
                  <v:textbox inset="0,0,0,0">
                    <w:txbxContent>
                      <w:p>
                        <w:pPr>
                          <w:spacing w:before="0" w:after="160" w:line="259" w:lineRule="auto"/>
                          <w:ind w:left="0" w:right="0" w:firstLine="0"/>
                          <w:jc w:val="left"/>
                        </w:pPr>
                        <w:r>
                          <w:rPr>
                            <w:sz w:val="18"/>
                          </w:rPr>
                          <w:t xml:space="preserve">LES</w:t>
                        </w:r>
                      </w:p>
                    </w:txbxContent>
                  </v:textbox>
                </v:rect>
                <v:rect id="Rectangle 195" style="position:absolute;width:293;height:1301;left:4456;top:10523;" filled="f" stroked="f">
                  <v:textbox inset="0,0,0,0">
                    <w:txbxContent>
                      <w:p>
                        <w:pPr>
                          <w:spacing w:before="0" w:after="160" w:line="259" w:lineRule="auto"/>
                          <w:ind w:left="0" w:right="0" w:firstLine="0"/>
                          <w:jc w:val="left"/>
                        </w:pPr>
                        <w:r>
                          <w:rPr>
                            <w:sz w:val="14"/>
                          </w:rPr>
                          <w:t xml:space="preserve"> </w:t>
                        </w:r>
                      </w:p>
                    </w:txbxContent>
                  </v:textbox>
                </v:rect>
                <v:rect id="Rectangle 196" style="position:absolute;width:10877;height:1682;left:4685;top:10292;" filled="f" stroked="f">
                  <v:textbox inset="0,0,0,0">
                    <w:txbxContent>
                      <w:p>
                        <w:pPr>
                          <w:spacing w:before="0" w:after="160" w:line="259" w:lineRule="auto"/>
                          <w:ind w:left="0" w:right="0" w:firstLine="0"/>
                          <w:jc w:val="left"/>
                        </w:pPr>
                        <w:r>
                          <w:rPr>
                            <w:sz w:val="18"/>
                          </w:rPr>
                          <w:t xml:space="preserve">REPUBLICAINS</w:t>
                        </w:r>
                      </w:p>
                    </w:txbxContent>
                  </v:textbox>
                </v:rect>
                <v:rect id="Rectangle 197" style="position:absolute;width:380;height:1682;left:12868;top:10292;" filled="f" stroked="f">
                  <v:textbox inset="0,0,0,0">
                    <w:txbxContent>
                      <w:p>
                        <w:pPr>
                          <w:spacing w:before="0" w:after="160" w:line="259" w:lineRule="auto"/>
                          <w:ind w:left="0" w:right="0" w:firstLine="0"/>
                          <w:jc w:val="left"/>
                        </w:pPr>
                        <w:r>
                          <w:rPr>
                            <w:sz w:val="18"/>
                          </w:rPr>
                          <w:t xml:space="preserve"> </w:t>
                        </w:r>
                      </w:p>
                    </w:txbxContent>
                  </v:textbox>
                </v:rect>
                <v:rect id="Rectangle 198" style="position:absolute;width:4661;height:2064;left:5889;top:11615;" filled="f" stroked="f">
                  <v:textbox inset="0,0,0,0">
                    <w:txbxContent>
                      <w:p>
                        <w:pPr>
                          <w:spacing w:before="0" w:after="160" w:line="259" w:lineRule="auto"/>
                          <w:ind w:left="0" w:right="0" w:firstLine="0"/>
                          <w:jc w:val="left"/>
                        </w:pPr>
                        <w:r>
                          <w:rPr>
                            <w:sz w:val="22"/>
                          </w:rPr>
                          <w:t xml:space="preserve">_____</w:t>
                        </w:r>
                      </w:p>
                    </w:txbxContent>
                  </v:textbox>
                </v:rect>
                <v:rect id="Rectangle 199" style="position:absolute;width:466;height:2064;left:9378;top:11615;" filled="f" stroked="f">
                  <v:textbox inset="0,0,0,0">
                    <w:txbxContent>
                      <w:p>
                        <w:pPr>
                          <w:spacing w:before="0" w:after="160" w:line="259" w:lineRule="auto"/>
                          <w:ind w:left="0" w:right="0" w:firstLine="0"/>
                          <w:jc w:val="left"/>
                        </w:pPr>
                        <w:r>
                          <w:rPr>
                            <w:sz w:val="22"/>
                          </w:rPr>
                          <w:t xml:space="preserve"> </w:t>
                        </w:r>
                      </w:p>
                    </w:txbxContent>
                  </v:textbox>
                </v:rect>
                <v:rect id="Rectangle 200" style="position:absolute;width:506;height:2243;left:7184;top:13991;"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 xml:space="preserve">Paris, le 30 septembre 2021  </w:t>
      </w:r>
    </w:p>
    <w:p w14:paraId="5C918695" w14:textId="77777777" w:rsidR="00873176" w:rsidRDefault="008F2A6A">
      <w:pPr>
        <w:spacing w:after="260" w:line="259" w:lineRule="auto"/>
        <w:ind w:left="0" w:right="571" w:firstLine="0"/>
        <w:jc w:val="center"/>
      </w:pPr>
      <w:r>
        <w:rPr>
          <w:b/>
          <w:sz w:val="20"/>
        </w:rPr>
        <w:t xml:space="preserve"> </w:t>
      </w:r>
    </w:p>
    <w:p w14:paraId="55E4D812" w14:textId="77777777" w:rsidR="00873176" w:rsidRDefault="008F2A6A">
      <w:pPr>
        <w:spacing w:after="372" w:line="259" w:lineRule="auto"/>
        <w:ind w:left="0" w:right="571" w:firstLine="0"/>
        <w:jc w:val="center"/>
      </w:pPr>
      <w:r>
        <w:rPr>
          <w:b/>
          <w:sz w:val="20"/>
        </w:rPr>
        <w:t xml:space="preserve"> </w:t>
      </w:r>
    </w:p>
    <w:p w14:paraId="4742117E" w14:textId="77777777" w:rsidR="00873176" w:rsidRDefault="008F2A6A">
      <w:pPr>
        <w:pStyle w:val="Titre1"/>
      </w:pPr>
      <w:r>
        <w:t xml:space="preserve">Saisine du Conseil constitutionnel du Groupe </w:t>
      </w:r>
      <w:proofErr w:type="spellStart"/>
      <w:r>
        <w:t>LR</w:t>
      </w:r>
      <w:proofErr w:type="spellEnd"/>
      <w:r>
        <w:t xml:space="preserve"> au Sénat  </w:t>
      </w:r>
    </w:p>
    <w:p w14:paraId="4CA5D847" w14:textId="77777777" w:rsidR="00873176" w:rsidRDefault="008F2A6A">
      <w:pPr>
        <w:spacing w:after="0" w:line="259" w:lineRule="auto"/>
        <w:ind w:left="0" w:right="541" w:firstLine="0"/>
        <w:jc w:val="center"/>
      </w:pPr>
      <w:r>
        <w:rPr>
          <w:b/>
          <w:sz w:val="32"/>
        </w:rPr>
        <w:t xml:space="preserve"> </w:t>
      </w:r>
    </w:p>
    <w:p w14:paraId="1166FCE7" w14:textId="77777777" w:rsidR="00873176" w:rsidRDefault="008F2A6A">
      <w:pPr>
        <w:spacing w:after="0" w:line="280" w:lineRule="auto"/>
        <w:ind w:left="3500" w:right="469" w:hanging="3452"/>
        <w:jc w:val="left"/>
      </w:pPr>
      <w:r>
        <w:rPr>
          <w:b/>
          <w:i/>
          <w:sz w:val="28"/>
        </w:rPr>
        <w:t xml:space="preserve">Loi relative à la régulation et à la protection de l’accès aux œuvres culturelles à l’ère numérique </w:t>
      </w:r>
    </w:p>
    <w:p w14:paraId="3700ECFB" w14:textId="77777777" w:rsidR="00873176" w:rsidRDefault="008F2A6A">
      <w:pPr>
        <w:spacing w:after="12" w:line="259" w:lineRule="auto"/>
        <w:ind w:left="-29" w:right="0" w:firstLine="0"/>
        <w:jc w:val="left"/>
      </w:pPr>
      <w:r>
        <w:rPr>
          <w:rFonts w:ascii="Calibri" w:eastAsia="Calibri" w:hAnsi="Calibri" w:cs="Calibri"/>
          <w:noProof/>
          <w:sz w:val="22"/>
        </w:rPr>
        <mc:AlternateContent>
          <mc:Choice Requires="wpg">
            <w:drawing>
              <wp:inline distT="0" distB="0" distL="0" distR="0" wp14:anchorId="5EE72FD6" wp14:editId="662301A7">
                <wp:extent cx="5797042" cy="6096"/>
                <wp:effectExtent l="0" t="0" r="0" b="0"/>
                <wp:docPr id="7417" name="Group 7417"/>
                <wp:cNvGraphicFramePr/>
                <a:graphic xmlns:a="http://schemas.openxmlformats.org/drawingml/2006/main">
                  <a:graphicData uri="http://schemas.microsoft.com/office/word/2010/wordprocessingGroup">
                    <wpg:wgp>
                      <wpg:cNvGrpSpPr/>
                      <wpg:grpSpPr>
                        <a:xfrm>
                          <a:off x="0" y="0"/>
                          <a:ext cx="5797042" cy="6096"/>
                          <a:chOff x="0" y="0"/>
                          <a:chExt cx="5797042" cy="6096"/>
                        </a:xfrm>
                      </wpg:grpSpPr>
                      <wps:wsp>
                        <wps:cNvPr id="8912" name="Shape 8912"/>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7" style="width:456.46pt;height:0.47998pt;mso-position-horizontal-relative:char;mso-position-vertical-relative:line" coordsize="57970,60">
                <v:shape id="Shape 8913" style="position:absolute;width:57970;height:91;left:0;top:0;" coordsize="5797042,9144" path="m0,0l5797042,0l5797042,9144l0,9144l0,0">
                  <v:stroke weight="0pt" endcap="flat" joinstyle="miter" miterlimit="10" on="false" color="#000000" opacity="0"/>
                  <v:fill on="true" color="#000000"/>
                </v:shape>
              </v:group>
            </w:pict>
          </mc:Fallback>
        </mc:AlternateContent>
      </w:r>
    </w:p>
    <w:p w14:paraId="39902277" w14:textId="77777777" w:rsidR="00873176" w:rsidRDefault="008F2A6A">
      <w:pPr>
        <w:spacing w:after="17" w:line="259" w:lineRule="auto"/>
        <w:ind w:left="0" w:right="0" w:firstLine="0"/>
        <w:jc w:val="left"/>
      </w:pPr>
      <w:r>
        <w:rPr>
          <w:b/>
          <w:sz w:val="20"/>
        </w:rPr>
        <w:t xml:space="preserve"> </w:t>
      </w:r>
    </w:p>
    <w:p w14:paraId="6986FB6E" w14:textId="77777777" w:rsidR="00873176" w:rsidRDefault="008F2A6A">
      <w:pPr>
        <w:spacing w:after="0" w:line="259" w:lineRule="auto"/>
        <w:ind w:left="0" w:right="0" w:firstLine="0"/>
        <w:jc w:val="left"/>
      </w:pPr>
      <w:r>
        <w:t xml:space="preserve"> </w:t>
      </w:r>
    </w:p>
    <w:p w14:paraId="7A68A0BF" w14:textId="77777777" w:rsidR="00873176" w:rsidRDefault="008F2A6A">
      <w:pPr>
        <w:ind w:left="10" w:right="607"/>
      </w:pPr>
      <w:r>
        <w:t xml:space="preserve">Monsieur le Président, </w:t>
      </w:r>
    </w:p>
    <w:p w14:paraId="1AEBADE9" w14:textId="77777777" w:rsidR="00873176" w:rsidRDefault="008F2A6A">
      <w:pPr>
        <w:ind w:left="10" w:right="607"/>
      </w:pPr>
      <w:r>
        <w:t xml:space="preserve">Mesdames et Messieurs les Conseillers, </w:t>
      </w:r>
    </w:p>
    <w:p w14:paraId="5E7B741F" w14:textId="77777777" w:rsidR="00873176" w:rsidRDefault="008F2A6A">
      <w:pPr>
        <w:spacing w:after="0" w:line="259" w:lineRule="auto"/>
        <w:ind w:left="0" w:right="0" w:firstLine="0"/>
        <w:jc w:val="left"/>
      </w:pPr>
      <w:r>
        <w:t xml:space="preserve"> </w:t>
      </w:r>
    </w:p>
    <w:p w14:paraId="4122B71B" w14:textId="77777777" w:rsidR="00873176" w:rsidRDefault="008F2A6A">
      <w:pPr>
        <w:ind w:left="10" w:right="607"/>
      </w:pPr>
      <w:r>
        <w:t>Les sénateurs soussignés ont l'honneur de soumettre à votre examen, conformément au</w:t>
      </w:r>
      <w:r>
        <w:t xml:space="preserve"> deuxième alinéa de l'article 61 de la Constitution, la loi relative à la régulation et à la protection de l'accès aux œuvres culturelles à l'ère numérique, aux fins de déclarer contraire à la Constitution son article 13 portant atteinte au principe de pro</w:t>
      </w:r>
      <w:r>
        <w:t xml:space="preserve">portionnalité des peines. </w:t>
      </w:r>
    </w:p>
    <w:p w14:paraId="6BD76B96" w14:textId="77777777" w:rsidR="00873176" w:rsidRDefault="008F2A6A">
      <w:pPr>
        <w:spacing w:after="0" w:line="259" w:lineRule="auto"/>
        <w:ind w:left="0" w:right="0" w:firstLine="0"/>
        <w:jc w:val="left"/>
      </w:pPr>
      <w:r>
        <w:t xml:space="preserve"> </w:t>
      </w:r>
    </w:p>
    <w:p w14:paraId="42473F18" w14:textId="77777777" w:rsidR="00873176" w:rsidRDefault="008F2A6A">
      <w:pPr>
        <w:ind w:left="10" w:right="607"/>
      </w:pPr>
      <w:r>
        <w:t xml:space="preserve">ARTICLE 13, CONTRAIRE AU PRINCIPE DE </w:t>
      </w:r>
      <w:proofErr w:type="spellStart"/>
      <w:r>
        <w:t>PROPORTIONNALITE</w:t>
      </w:r>
      <w:proofErr w:type="spellEnd"/>
      <w:r>
        <w:t xml:space="preserve"> DES PEINES </w:t>
      </w:r>
    </w:p>
    <w:p w14:paraId="424C613F" w14:textId="77777777" w:rsidR="00873176" w:rsidRDefault="008F2A6A">
      <w:pPr>
        <w:spacing w:after="0" w:line="259" w:lineRule="auto"/>
        <w:ind w:left="0" w:right="0" w:firstLine="0"/>
        <w:jc w:val="left"/>
      </w:pPr>
      <w:r>
        <w:t xml:space="preserve"> </w:t>
      </w:r>
    </w:p>
    <w:p w14:paraId="073B8C73" w14:textId="77777777" w:rsidR="00873176" w:rsidRDefault="008F2A6A">
      <w:pPr>
        <w:ind w:left="10" w:right="607"/>
      </w:pPr>
      <w:r>
        <w:t xml:space="preserve">L’article 13 de la loi fixe un montant maximal aux pénalités que pourra </w:t>
      </w:r>
      <w:r>
        <w:t>infliger la future autorité de régulation, l’</w:t>
      </w:r>
      <w:proofErr w:type="spellStart"/>
      <w:r>
        <w:t>Arcom</w:t>
      </w:r>
      <w:proofErr w:type="spellEnd"/>
      <w:r>
        <w:t xml:space="preserve">, en cas de non-respect par les éditeurs de services de leurs obligations en matière de financement de la production d'œuvres cinématographiques et audiovisuelles.  </w:t>
      </w:r>
    </w:p>
    <w:p w14:paraId="1287D419" w14:textId="77777777" w:rsidR="00873176" w:rsidRDefault="008F2A6A">
      <w:pPr>
        <w:spacing w:after="0" w:line="259" w:lineRule="auto"/>
        <w:ind w:left="0" w:right="0" w:firstLine="0"/>
        <w:jc w:val="left"/>
      </w:pPr>
      <w:r>
        <w:t xml:space="preserve"> </w:t>
      </w:r>
    </w:p>
    <w:p w14:paraId="7FE07F05" w14:textId="77777777" w:rsidR="00873176" w:rsidRDefault="008F2A6A">
      <w:pPr>
        <w:spacing w:after="0"/>
        <w:ind w:left="-5" w:right="609"/>
      </w:pPr>
      <w:r>
        <w:t xml:space="preserve">Actuellement, la loi n° 86-1067 du 30 septembre 1986 relative à la liberté de communication (loi Léotard), qui fixe les obligations des éditeurs, prévoit dans son article 42-2 qu’en cas de manquement à ces obligations : « </w:t>
      </w:r>
      <w:r>
        <w:rPr>
          <w:i/>
        </w:rPr>
        <w:t>le montant de la sanction pécuniai</w:t>
      </w:r>
      <w:r>
        <w:rPr>
          <w:i/>
        </w:rPr>
        <w:t>re doit être fonction de la gravité des manquements commis et en relation avec les avantages tirés du manquement, sans pouvoir excéder 3 % du chiffre d'affaires hors taxes, réalisé au cours du dernier exercice clos calculé sur une période de douze mois. Ce</w:t>
      </w:r>
      <w:r>
        <w:rPr>
          <w:i/>
        </w:rPr>
        <w:t xml:space="preserve"> maximum est porté à 5 % en cas de nouvelle violation de la même obligation</w:t>
      </w:r>
      <w:r>
        <w:t xml:space="preserve"> ». </w:t>
      </w:r>
    </w:p>
    <w:p w14:paraId="6275EF01" w14:textId="77777777" w:rsidR="00873176" w:rsidRDefault="008F2A6A">
      <w:pPr>
        <w:spacing w:after="0" w:line="259" w:lineRule="auto"/>
        <w:ind w:left="0" w:right="0" w:firstLine="0"/>
        <w:jc w:val="left"/>
      </w:pPr>
      <w:r>
        <w:t xml:space="preserve"> </w:t>
      </w:r>
    </w:p>
    <w:p w14:paraId="615EF3DF" w14:textId="77777777" w:rsidR="00873176" w:rsidRDefault="008F2A6A">
      <w:pPr>
        <w:ind w:left="10" w:right="607"/>
      </w:pPr>
      <w:r>
        <w:t>L’article 13 de la loi envisagée relève le montant maximal de la sanction pécuniaire en proportion du montant de l'obligation incombant à l'éditeur, au lieu du pourcentage du</w:t>
      </w:r>
      <w:r>
        <w:t xml:space="preserve"> chiffre d’affaires, dans l’objectif « d'en garantir l'effet dissuasif et proportionné ». </w:t>
      </w:r>
    </w:p>
    <w:p w14:paraId="12BE8B2E" w14:textId="77777777" w:rsidR="00873176" w:rsidRDefault="008F2A6A">
      <w:pPr>
        <w:spacing w:after="6" w:line="259" w:lineRule="auto"/>
        <w:ind w:left="0" w:right="0" w:firstLine="0"/>
        <w:jc w:val="left"/>
      </w:pPr>
      <w:r>
        <w:t xml:space="preserve"> </w:t>
      </w:r>
    </w:p>
    <w:p w14:paraId="32EE1D08" w14:textId="77777777" w:rsidR="00873176" w:rsidRDefault="008F2A6A">
      <w:pPr>
        <w:spacing w:after="0"/>
        <w:ind w:left="-5" w:right="609"/>
      </w:pPr>
      <w:r>
        <w:lastRenderedPageBreak/>
        <w:t>Ainsi, l’article 13 énonce :</w:t>
      </w:r>
      <w:r>
        <w:rPr>
          <w:i/>
        </w:rPr>
        <w:t xml:space="preserve"> « Après le premier alinéa de l’article 42-2 de la loi du 30 septembre 1986 précitée, il est inséré un alinéa ainsi rédigé :  </w:t>
      </w:r>
    </w:p>
    <w:p w14:paraId="73DC9405" w14:textId="77777777" w:rsidR="00873176" w:rsidRDefault="008F2A6A">
      <w:pPr>
        <w:spacing w:after="0"/>
        <w:ind w:left="-5" w:right="609"/>
      </w:pPr>
      <w:r>
        <w:rPr>
          <w:i/>
        </w:rPr>
        <w:t>En cas d</w:t>
      </w:r>
      <w:r>
        <w:rPr>
          <w:i/>
        </w:rPr>
        <w:t>e manquement à l’obligation de contribution au développement de la production mentionnée au 3° de l’article 27, au 6° de l’article 33, au 3° de l’article 33-2 ou aux II à IV de l’article 43-7 de la présente loi et par dérogation à l’alinéa précédent, le mo</w:t>
      </w:r>
      <w:r>
        <w:rPr>
          <w:i/>
        </w:rPr>
        <w:t xml:space="preserve">ntant maximal de cette sanction ne peut excéder deux fois le montant de l’obligation qui doit être annuellement consacrée à la production et trois fois en cas de récidive ». </w:t>
      </w:r>
    </w:p>
    <w:p w14:paraId="70277508" w14:textId="77777777" w:rsidR="00873176" w:rsidRDefault="008F2A6A">
      <w:pPr>
        <w:spacing w:after="0" w:line="259" w:lineRule="auto"/>
        <w:ind w:left="0" w:right="0" w:firstLine="0"/>
        <w:jc w:val="left"/>
      </w:pPr>
      <w:r>
        <w:t xml:space="preserve"> </w:t>
      </w:r>
    </w:p>
    <w:p w14:paraId="34C19F6E" w14:textId="77777777" w:rsidR="00873176" w:rsidRDefault="008F2A6A">
      <w:pPr>
        <w:ind w:left="10" w:right="607"/>
      </w:pPr>
      <w:r>
        <w:t>Les sénateurs soussignés soulignent le caractère disproportionné de ces disposi</w:t>
      </w:r>
      <w:r>
        <w:t xml:space="preserve">tions.  </w:t>
      </w:r>
    </w:p>
    <w:p w14:paraId="030E0B9E" w14:textId="77777777" w:rsidR="00873176" w:rsidRDefault="008F2A6A">
      <w:pPr>
        <w:spacing w:after="0" w:line="259" w:lineRule="auto"/>
        <w:ind w:left="0" w:right="0" w:firstLine="0"/>
        <w:jc w:val="left"/>
      </w:pPr>
      <w:r>
        <w:t xml:space="preserve"> </w:t>
      </w:r>
    </w:p>
    <w:p w14:paraId="4CE058E8" w14:textId="77777777" w:rsidR="00873176" w:rsidRDefault="008F2A6A">
      <w:pPr>
        <w:ind w:left="10" w:right="607"/>
      </w:pPr>
      <w:r>
        <w:t xml:space="preserve">Un amendement avait d’ailleurs été adopté par le Sénat en première lecture, visant à restreindre l’assiette de la sanction au montant « du manquement » à l’obligation consacrée à la production, et non au montant total de cette obligation. Cette </w:t>
      </w:r>
      <w:r>
        <w:t xml:space="preserve">rédaction a cependant été rejetée par l’Assemblée nationale. </w:t>
      </w:r>
    </w:p>
    <w:p w14:paraId="55BF9213" w14:textId="77777777" w:rsidR="00873176" w:rsidRDefault="008F2A6A">
      <w:pPr>
        <w:spacing w:after="22" w:line="259" w:lineRule="auto"/>
        <w:ind w:left="0" w:right="0" w:firstLine="0"/>
        <w:jc w:val="left"/>
      </w:pPr>
      <w:r>
        <w:t xml:space="preserve"> </w:t>
      </w:r>
    </w:p>
    <w:p w14:paraId="3153D2EC" w14:textId="77777777" w:rsidR="00873176" w:rsidRDefault="008F2A6A">
      <w:pPr>
        <w:ind w:left="10" w:right="607"/>
      </w:pPr>
      <w:r>
        <w:t xml:space="preserve">A l’appui de cet amendement, les sénateurs présentaient l’argumentation suivante : </w:t>
      </w:r>
    </w:p>
    <w:p w14:paraId="77CF7069" w14:textId="77777777" w:rsidR="00873176" w:rsidRDefault="008F2A6A">
      <w:pPr>
        <w:spacing w:after="22" w:line="259" w:lineRule="auto"/>
        <w:ind w:left="0" w:right="0" w:firstLine="0"/>
        <w:jc w:val="left"/>
      </w:pPr>
      <w:r>
        <w:rPr>
          <w:i/>
        </w:rPr>
        <w:t xml:space="preserve"> </w:t>
      </w:r>
    </w:p>
    <w:p w14:paraId="6C1873B0" w14:textId="77777777" w:rsidR="00873176" w:rsidRDefault="008F2A6A">
      <w:pPr>
        <w:spacing w:after="0"/>
        <w:ind w:left="-5" w:right="609"/>
      </w:pPr>
      <w:r>
        <w:rPr>
          <w:i/>
        </w:rPr>
        <w:t>« L’ampleur de la modification envisagée par l’article 13 aboutirait, par rapport au plafond en vigueur, à</w:t>
      </w:r>
      <w:r>
        <w:rPr>
          <w:i/>
        </w:rPr>
        <w:t xml:space="preserve"> des montants de sanction totalement déconnectés, d’une part, des bénéfices éventuels résultant du manquement, puisque la sanction serait désormais calculée non plus sur la part non réalisée des obligations, mais sur leur assiette totale ; d’autre part, de</w:t>
      </w:r>
      <w:r>
        <w:rPr>
          <w:i/>
        </w:rPr>
        <w:t>s niveaux de sanction maximale auxquels peuvent recourir les autres autorités administratives indépendantes comparables au CSA, fondés sur un pourcentage de chiffre d’affaires ; enfin, de la jurisprudence du CSA en matière de sanctions, par rapport à laque</w:t>
      </w:r>
      <w:r>
        <w:rPr>
          <w:i/>
        </w:rPr>
        <w:t xml:space="preserve">lle ce changement introduit une rupture radicale. </w:t>
      </w:r>
    </w:p>
    <w:p w14:paraId="011B1769" w14:textId="77777777" w:rsidR="00873176" w:rsidRDefault="008F2A6A">
      <w:pPr>
        <w:spacing w:after="0" w:line="259" w:lineRule="auto"/>
        <w:ind w:left="0" w:right="0" w:firstLine="0"/>
        <w:jc w:val="left"/>
      </w:pPr>
      <w:r>
        <w:rPr>
          <w:i/>
        </w:rPr>
        <w:t xml:space="preserve"> </w:t>
      </w:r>
    </w:p>
    <w:p w14:paraId="075DBCFD" w14:textId="77777777" w:rsidR="00873176" w:rsidRDefault="008F2A6A">
      <w:pPr>
        <w:spacing w:after="0"/>
        <w:ind w:left="-5" w:right="609"/>
      </w:pPr>
      <w:r>
        <w:rPr>
          <w:i/>
        </w:rPr>
        <w:t>Il en ressort un caractère manifestement disproportionné au regard de la nature du manquement, rendant cette disposition potentiellement confiscatoire pour des éditeurs nationaux dont la situation financ</w:t>
      </w:r>
      <w:r>
        <w:rPr>
          <w:i/>
        </w:rPr>
        <w:t xml:space="preserve">ière est sans commune mesure avec des acteurs mondialisés </w:t>
      </w:r>
    </w:p>
    <w:p w14:paraId="3227DEF9" w14:textId="77777777" w:rsidR="00873176" w:rsidRDefault="008F2A6A">
      <w:pPr>
        <w:spacing w:after="0"/>
        <w:ind w:left="-5" w:right="609"/>
      </w:pPr>
      <w:r>
        <w:rPr>
          <w:i/>
        </w:rPr>
        <w:t>(</w:t>
      </w:r>
      <w:proofErr w:type="gramStart"/>
      <w:r>
        <w:rPr>
          <w:i/>
        </w:rPr>
        <w:t>plateformes</w:t>
      </w:r>
      <w:proofErr w:type="gramEnd"/>
      <w:r>
        <w:rPr>
          <w:i/>
        </w:rPr>
        <w:t xml:space="preserve"> étrangères) certes soumis au même cadre depuis l’ordonnance du 20 décembre 2020, mais pour lesquels l’impact économique de ce nouveau régime de sanction serait infiniment moindre. Au m</w:t>
      </w:r>
      <w:r>
        <w:rPr>
          <w:i/>
        </w:rPr>
        <w:t xml:space="preserve">anque de proportionnalité s’ajoute donc un risque également manifeste de rupture du principe d’égalité. </w:t>
      </w:r>
    </w:p>
    <w:p w14:paraId="3EA1CA1D" w14:textId="77777777" w:rsidR="00873176" w:rsidRDefault="008F2A6A">
      <w:pPr>
        <w:spacing w:after="0" w:line="259" w:lineRule="auto"/>
        <w:ind w:left="0" w:right="0" w:firstLine="0"/>
        <w:jc w:val="left"/>
      </w:pPr>
      <w:r>
        <w:rPr>
          <w:i/>
        </w:rPr>
        <w:t xml:space="preserve"> </w:t>
      </w:r>
    </w:p>
    <w:p w14:paraId="5FD39FF3" w14:textId="77777777" w:rsidR="00873176" w:rsidRDefault="008F2A6A">
      <w:pPr>
        <w:spacing w:after="0"/>
        <w:ind w:left="-5" w:right="609"/>
      </w:pPr>
      <w:r>
        <w:rPr>
          <w:i/>
        </w:rPr>
        <w:t>Pourtant, l’objectif exprimé par les pouvoirs publics, dans ce projet de loi comme dans les autres ajustements normatifs en cours dans le secteur, vi</w:t>
      </w:r>
      <w:r>
        <w:rPr>
          <w:i/>
        </w:rPr>
        <w:t xml:space="preserve">se précisément à lever les asymétries entre les acteurs étrangers et les éditeurs audiovisuels domestiques en renforçant le caractère équitable de l’environnement national. L’article 13 dans sa rédaction actuelle va à l’encontre de cet objectif. » </w:t>
      </w:r>
    </w:p>
    <w:p w14:paraId="54AC1487" w14:textId="77777777" w:rsidR="00873176" w:rsidRDefault="008F2A6A">
      <w:pPr>
        <w:spacing w:after="0" w:line="259" w:lineRule="auto"/>
        <w:ind w:left="0" w:right="0" w:firstLine="0"/>
        <w:jc w:val="left"/>
      </w:pPr>
      <w:r>
        <w:t xml:space="preserve"> </w:t>
      </w:r>
    </w:p>
    <w:p w14:paraId="689C646B" w14:textId="77777777" w:rsidR="00873176" w:rsidRDefault="008F2A6A">
      <w:pPr>
        <w:ind w:left="10" w:right="607"/>
      </w:pPr>
      <w:r>
        <w:t xml:space="preserve">Cette disproportion peut être démontrée au regard du droit constitutionnel : </w:t>
      </w:r>
    </w:p>
    <w:p w14:paraId="52C553DB" w14:textId="77777777" w:rsidR="00873176" w:rsidRDefault="008F2A6A">
      <w:pPr>
        <w:spacing w:after="0" w:line="259" w:lineRule="auto"/>
        <w:ind w:left="0" w:right="0" w:firstLine="0"/>
        <w:jc w:val="left"/>
      </w:pPr>
      <w:r>
        <w:t xml:space="preserve"> </w:t>
      </w:r>
    </w:p>
    <w:p w14:paraId="772EE37A" w14:textId="77777777" w:rsidR="00873176" w:rsidRDefault="008F2A6A">
      <w:pPr>
        <w:ind w:left="10" w:right="607"/>
      </w:pPr>
      <w:r>
        <w:t>Les amendes prononcées par les autorités de régulation pour sanctionner un manquement présentent par essence « le caractère d’une punition » dans la jurisprudence du Conseil co</w:t>
      </w:r>
      <w:r>
        <w:t xml:space="preserve">nstitutionnel (depuis la décision n° 2010-85 QPC du 13 janvier 2011, Établissements Darty et Fils). </w:t>
      </w:r>
    </w:p>
    <w:p w14:paraId="5CD9C73D" w14:textId="77777777" w:rsidR="00873176" w:rsidRDefault="008F2A6A">
      <w:pPr>
        <w:spacing w:after="0" w:line="259" w:lineRule="auto"/>
        <w:ind w:left="0" w:right="0" w:firstLine="0"/>
        <w:jc w:val="left"/>
      </w:pPr>
      <w:r>
        <w:t xml:space="preserve"> </w:t>
      </w:r>
    </w:p>
    <w:p w14:paraId="29BD5C2F" w14:textId="77777777" w:rsidR="00873176" w:rsidRDefault="008F2A6A">
      <w:pPr>
        <w:spacing w:after="0"/>
        <w:ind w:left="-5" w:right="609"/>
      </w:pPr>
      <w:r>
        <w:lastRenderedPageBreak/>
        <w:t xml:space="preserve">Or, selon l’article 8 de la Déclaration des droits de l'homme et du citoyen de 1789, « </w:t>
      </w:r>
      <w:r>
        <w:rPr>
          <w:i/>
        </w:rPr>
        <w:t>la loi ne doit établir que des peines strictement et évidemment né</w:t>
      </w:r>
      <w:r>
        <w:rPr>
          <w:i/>
        </w:rPr>
        <w:t>cessaires, et nul ne peut être puni qu'en vertu d'une loi établie et promulguée antérieurement au délit, et légalement appliquée</w:t>
      </w:r>
      <w:r>
        <w:t xml:space="preserve"> ».  </w:t>
      </w:r>
    </w:p>
    <w:p w14:paraId="60863590" w14:textId="77777777" w:rsidR="00873176" w:rsidRDefault="008F2A6A">
      <w:pPr>
        <w:spacing w:after="0" w:line="259" w:lineRule="auto"/>
        <w:ind w:left="0" w:right="0" w:firstLine="0"/>
        <w:jc w:val="left"/>
      </w:pPr>
      <w:r>
        <w:t xml:space="preserve"> </w:t>
      </w:r>
    </w:p>
    <w:p w14:paraId="17C1C1E3" w14:textId="77777777" w:rsidR="00873176" w:rsidRDefault="008F2A6A">
      <w:pPr>
        <w:spacing w:after="0"/>
        <w:ind w:left="-5" w:right="609"/>
      </w:pPr>
      <w:r>
        <w:t>Selon la jurisprudence du Conseil constitutionnel, dont une décision récente (n° 2021-908 QPC du 26 mai 2021, Sté KF3 Pl</w:t>
      </w:r>
      <w:r>
        <w:t xml:space="preserve">us), « </w:t>
      </w:r>
      <w:r>
        <w:rPr>
          <w:i/>
        </w:rPr>
        <w:t>les principes énoncés par cet article s'appliquent non seulement aux peines prononcées par les juridictions répressives mais aussi à toute sanction ayant le caractère d'une punition. Si la nécessité des peines attachées aux infractions relève du pou</w:t>
      </w:r>
      <w:r>
        <w:rPr>
          <w:i/>
        </w:rPr>
        <w:t>voir d'appréciation du législateur, il incombe au Conseil constitutionnel de s'assurer de l'absence de disproportion manifeste entre l'infraction et la peine encourue</w:t>
      </w:r>
      <w:r>
        <w:t xml:space="preserve"> ».  </w:t>
      </w:r>
    </w:p>
    <w:p w14:paraId="7F37DC81" w14:textId="77777777" w:rsidR="00873176" w:rsidRDefault="008F2A6A">
      <w:pPr>
        <w:spacing w:after="16" w:line="259" w:lineRule="auto"/>
        <w:ind w:left="0" w:right="0" w:firstLine="0"/>
        <w:jc w:val="left"/>
      </w:pPr>
      <w:r>
        <w:t xml:space="preserve"> </w:t>
      </w:r>
    </w:p>
    <w:p w14:paraId="1D13462A" w14:textId="77777777" w:rsidR="00873176" w:rsidRDefault="008F2A6A">
      <w:pPr>
        <w:ind w:left="10" w:right="607"/>
      </w:pPr>
      <w:r>
        <w:t>Le législateur n’est donc jamais autorisé à permettre à une autorité administrativ</w:t>
      </w:r>
      <w:r>
        <w:t xml:space="preserve">e indépendante de prononcer des amendes qui ne seraient pas « strictement et évidemment nécessaires » au sens de l’article 8 de la Déclaration des droits de l’Homme. Il lui est interdit de se faire l’agent d’une sanction disproportionnée. </w:t>
      </w:r>
    </w:p>
    <w:p w14:paraId="07777222" w14:textId="77777777" w:rsidR="00873176" w:rsidRDefault="008F2A6A">
      <w:pPr>
        <w:spacing w:after="0" w:line="259" w:lineRule="auto"/>
        <w:ind w:left="0" w:right="0" w:firstLine="0"/>
        <w:jc w:val="left"/>
      </w:pPr>
      <w:r>
        <w:t xml:space="preserve"> </w:t>
      </w:r>
    </w:p>
    <w:p w14:paraId="0C6230A9" w14:textId="77777777" w:rsidR="00873176" w:rsidRDefault="008F2A6A">
      <w:pPr>
        <w:spacing w:after="33"/>
        <w:ind w:left="10" w:right="607"/>
      </w:pPr>
      <w:r>
        <w:t xml:space="preserve">Se pose alors </w:t>
      </w:r>
      <w:r>
        <w:t xml:space="preserve">la question de savoir si fixer comme plafond de sanction un montant représentant </w:t>
      </w:r>
    </w:p>
    <w:p w14:paraId="2DF1809D" w14:textId="77777777" w:rsidR="00873176" w:rsidRDefault="008F2A6A">
      <w:pPr>
        <w:ind w:left="10" w:right="607"/>
      </w:pPr>
      <w:r>
        <w:t xml:space="preserve">« </w:t>
      </w:r>
      <w:proofErr w:type="gramStart"/>
      <w:r>
        <w:t>deux</w:t>
      </w:r>
      <w:proofErr w:type="gramEnd"/>
      <w:r>
        <w:t xml:space="preserve"> fois le montant de l’obligation qui doit être annuellement consacrée à la production et trois fois en cas de récidive » est ou non disproportionné. </w:t>
      </w:r>
    </w:p>
    <w:p w14:paraId="24DFC9E0" w14:textId="77777777" w:rsidR="00873176" w:rsidRDefault="008F2A6A">
      <w:pPr>
        <w:spacing w:after="0" w:line="259" w:lineRule="auto"/>
        <w:ind w:left="0" w:right="0" w:firstLine="0"/>
        <w:jc w:val="left"/>
      </w:pPr>
      <w:r>
        <w:t xml:space="preserve"> </w:t>
      </w:r>
    </w:p>
    <w:p w14:paraId="38504AC0" w14:textId="77777777" w:rsidR="00873176" w:rsidRDefault="008F2A6A">
      <w:pPr>
        <w:ind w:left="10" w:right="607"/>
      </w:pPr>
      <w:r>
        <w:t>Le Conseil const</w:t>
      </w:r>
      <w:r>
        <w:t>itutionnel a posé en pareil cas que la loi doit faire dépendre le montant de l’amende d’un « lien » entre l’infraction constatée et l’assiette de sanction retenue (décision n° 2013-679 DC du 4 décembre 2013, loi relative à la lutte contre la fraude fiscale</w:t>
      </w:r>
      <w:r>
        <w:t xml:space="preserve"> et la grande délinquance financière). Cela signifie donc, non seulement que le montant de l’amende doit être rendu adéquat à la surface financière de l’entreprise, mais aussi et surtout qu’il doit être articulé au profit qu’elle a illégalement retiré de s</w:t>
      </w:r>
      <w:r>
        <w:t xml:space="preserve">on acte. C’est bien entre « l’infraction » et l’assiette de référence de la sanction que ce « lien » doit être tissé. </w:t>
      </w:r>
    </w:p>
    <w:p w14:paraId="7B508050" w14:textId="77777777" w:rsidR="00873176" w:rsidRDefault="008F2A6A">
      <w:pPr>
        <w:spacing w:after="19" w:line="259" w:lineRule="auto"/>
        <w:ind w:left="0" w:right="0" w:firstLine="0"/>
        <w:jc w:val="left"/>
      </w:pPr>
      <w:r>
        <w:t xml:space="preserve"> </w:t>
      </w:r>
    </w:p>
    <w:p w14:paraId="5A5771B9" w14:textId="77777777" w:rsidR="00873176" w:rsidRDefault="008F2A6A">
      <w:pPr>
        <w:ind w:left="10" w:right="607"/>
      </w:pPr>
      <w:r>
        <w:t xml:space="preserve">Tel n’est pas le cas dans la rédaction prévue par l’article 13. </w:t>
      </w:r>
    </w:p>
    <w:p w14:paraId="67B2BF5D" w14:textId="77777777" w:rsidR="00873176" w:rsidRDefault="008F2A6A">
      <w:pPr>
        <w:spacing w:after="2" w:line="259" w:lineRule="auto"/>
        <w:ind w:left="0" w:right="0" w:firstLine="0"/>
        <w:jc w:val="left"/>
      </w:pPr>
      <w:r>
        <w:t xml:space="preserve"> </w:t>
      </w:r>
    </w:p>
    <w:p w14:paraId="4F6447F9" w14:textId="77777777" w:rsidR="00873176" w:rsidRDefault="008F2A6A">
      <w:pPr>
        <w:ind w:left="10" w:right="607"/>
      </w:pPr>
      <w:r>
        <w:t>Contrairement à la version votée par le Sénat, l’</w:t>
      </w:r>
      <w:proofErr w:type="spellStart"/>
      <w:r>
        <w:t>Arcom</w:t>
      </w:r>
      <w:proofErr w:type="spellEnd"/>
      <w:r>
        <w:t xml:space="preserve"> sera mise en situation de pouvoir prononcer une sanction très importante – puisqu’indexée sur le montant multiplié de toute l’obligation – alors que le manquement allégué pourra ne porter que sur une p</w:t>
      </w:r>
      <w:r>
        <w:t xml:space="preserve">art, le cas échéant très mineure, de cette même obligation. </w:t>
      </w:r>
    </w:p>
    <w:p w14:paraId="5529F898" w14:textId="77777777" w:rsidR="00873176" w:rsidRDefault="008F2A6A">
      <w:pPr>
        <w:spacing w:after="11" w:line="259" w:lineRule="auto"/>
        <w:ind w:left="0" w:right="0" w:firstLine="0"/>
        <w:jc w:val="left"/>
      </w:pPr>
      <w:r>
        <w:t xml:space="preserve"> </w:t>
      </w:r>
    </w:p>
    <w:p w14:paraId="4632B097" w14:textId="77777777" w:rsidR="00873176" w:rsidRDefault="008F2A6A">
      <w:pPr>
        <w:ind w:left="10" w:right="607"/>
      </w:pPr>
      <w:r>
        <w:t xml:space="preserve">L’application de ce système aboutirait, en pratique, à des augmentations très conséquentes dans tous les cas de figure. Cette disproportion peut être illustrée par plusieurs exemples. </w:t>
      </w:r>
    </w:p>
    <w:p w14:paraId="21AD74BD" w14:textId="77777777" w:rsidR="00873176" w:rsidRDefault="008F2A6A">
      <w:pPr>
        <w:spacing w:after="0" w:line="259" w:lineRule="auto"/>
        <w:ind w:left="0" w:right="0" w:firstLine="0"/>
        <w:jc w:val="left"/>
      </w:pPr>
      <w:r>
        <w:t xml:space="preserve"> </w:t>
      </w:r>
    </w:p>
    <w:p w14:paraId="16642F02" w14:textId="77777777" w:rsidR="00873176" w:rsidRDefault="008F2A6A">
      <w:pPr>
        <w:spacing w:after="0" w:line="259" w:lineRule="auto"/>
        <w:ind w:left="0" w:right="0" w:firstLine="0"/>
        <w:jc w:val="left"/>
      </w:pPr>
      <w:r>
        <w:rPr>
          <w:u w:val="single" w:color="000000"/>
        </w:rPr>
        <w:t>Exemples :</w:t>
      </w:r>
      <w:r>
        <w:t xml:space="preserve"> </w:t>
      </w:r>
    </w:p>
    <w:p w14:paraId="1C6C29FC" w14:textId="77777777" w:rsidR="00873176" w:rsidRDefault="008F2A6A">
      <w:pPr>
        <w:spacing w:after="0" w:line="259" w:lineRule="auto"/>
        <w:ind w:left="0" w:right="0" w:firstLine="0"/>
        <w:jc w:val="left"/>
      </w:pPr>
      <w:r>
        <w:t xml:space="preserve"> </w:t>
      </w:r>
    </w:p>
    <w:p w14:paraId="7C935C3E" w14:textId="77777777" w:rsidR="00873176" w:rsidRDefault="008F2A6A">
      <w:pPr>
        <w:ind w:left="10" w:right="607"/>
      </w:pPr>
      <w:r>
        <w:t>Le droit encore applicable conduit à ce que le montant de la sanction soit fixé à 3 % du chiffre d’affaires de l’éditeur. Le projet du gouvernement prévoit de l’indexer sur des obligations de contribution qui sont fixées par décret et varient</w:t>
      </w:r>
      <w:r>
        <w:t xml:space="preserve"> en fonction des caractéristiques des éditeurs en question : services gratuits ou services payants, services de cinéma ou autres que de cinéma. </w:t>
      </w:r>
    </w:p>
    <w:p w14:paraId="3C46C377" w14:textId="77777777" w:rsidR="00873176" w:rsidRDefault="008F2A6A">
      <w:pPr>
        <w:spacing w:after="26" w:line="259" w:lineRule="auto"/>
        <w:ind w:left="0" w:right="0" w:firstLine="0"/>
        <w:jc w:val="left"/>
      </w:pPr>
      <w:r>
        <w:t xml:space="preserve"> </w:t>
      </w:r>
    </w:p>
    <w:p w14:paraId="01C57956" w14:textId="77777777" w:rsidR="00873176" w:rsidRDefault="008F2A6A">
      <w:pPr>
        <w:numPr>
          <w:ilvl w:val="0"/>
          <w:numId w:val="1"/>
        </w:numPr>
        <w:ind w:right="607" w:hanging="360"/>
      </w:pPr>
      <w:r>
        <w:t>Si l’on prend la situation d’un service de télévision gratuit et ses obligations en matière de production aud</w:t>
      </w:r>
      <w:r>
        <w:t xml:space="preserve">iovisuelle et que l’on fait l’hypothèse d’un chiffre d’affaires de référence de 1 milliard d’euros, l’obligation audiovisuelle de référence est de 150 </w:t>
      </w:r>
      <w:r>
        <w:lastRenderedPageBreak/>
        <w:t>millions d’euros (correspondant à 15% du CA en application de l’article 9 du décret 2010-747 du 2 juillet</w:t>
      </w:r>
      <w:r>
        <w:t xml:space="preserve"> 2010). Il s’ensuit que, dans le cadre actuel, la sanction financière maximale possible est la suivante : </w:t>
      </w:r>
    </w:p>
    <w:p w14:paraId="0FCC8833" w14:textId="77777777" w:rsidR="00873176" w:rsidRDefault="008F2A6A">
      <w:pPr>
        <w:spacing w:after="0" w:line="259" w:lineRule="auto"/>
        <w:ind w:left="0" w:right="0" w:firstLine="0"/>
        <w:jc w:val="left"/>
      </w:pPr>
      <w:r>
        <w:t xml:space="preserve"> </w:t>
      </w:r>
    </w:p>
    <w:p w14:paraId="3491C999" w14:textId="77777777" w:rsidR="00873176" w:rsidRDefault="008F2A6A">
      <w:pPr>
        <w:spacing w:after="0" w:line="259" w:lineRule="auto"/>
        <w:ind w:left="0" w:right="0" w:firstLine="0"/>
        <w:jc w:val="left"/>
      </w:pPr>
      <w:r>
        <w:t xml:space="preserve"> </w:t>
      </w:r>
    </w:p>
    <w:p w14:paraId="57EFBE7C" w14:textId="77777777" w:rsidR="00873176" w:rsidRDefault="008F2A6A">
      <w:pPr>
        <w:spacing w:after="0" w:line="259" w:lineRule="auto"/>
        <w:ind w:left="0" w:right="0" w:firstLine="0"/>
        <w:jc w:val="left"/>
      </w:pPr>
      <w:r>
        <w:t xml:space="preserve"> </w:t>
      </w:r>
    </w:p>
    <w:p w14:paraId="236B74F7" w14:textId="77777777" w:rsidR="00873176" w:rsidRDefault="008F2A6A">
      <w:pPr>
        <w:spacing w:after="0" w:line="259" w:lineRule="auto"/>
        <w:ind w:left="0" w:right="0" w:firstLine="0"/>
        <w:jc w:val="left"/>
      </w:pPr>
      <w:r>
        <w:t xml:space="preserve"> </w:t>
      </w:r>
    </w:p>
    <w:p w14:paraId="6C72DA01" w14:textId="77777777" w:rsidR="00873176" w:rsidRDefault="008F2A6A">
      <w:pPr>
        <w:spacing w:after="0" w:line="259" w:lineRule="auto"/>
        <w:ind w:left="0" w:right="0" w:firstLine="0"/>
        <w:jc w:val="left"/>
      </w:pPr>
      <w:r>
        <w:t xml:space="preserve"> </w:t>
      </w:r>
    </w:p>
    <w:p w14:paraId="0D225400" w14:textId="77777777" w:rsidR="00873176" w:rsidRDefault="008F2A6A">
      <w:pPr>
        <w:spacing w:after="0" w:line="259" w:lineRule="auto"/>
        <w:ind w:left="0" w:right="0" w:firstLine="0"/>
        <w:jc w:val="left"/>
      </w:pPr>
      <w:r>
        <w:t xml:space="preserve"> </w:t>
      </w:r>
    </w:p>
    <w:tbl>
      <w:tblPr>
        <w:tblStyle w:val="TableGrid"/>
        <w:tblW w:w="9062" w:type="dxa"/>
        <w:tblInd w:w="5" w:type="dxa"/>
        <w:tblCellMar>
          <w:top w:w="14" w:type="dxa"/>
          <w:left w:w="108" w:type="dxa"/>
          <w:bottom w:w="0" w:type="dxa"/>
          <w:right w:w="48" w:type="dxa"/>
        </w:tblCellMar>
        <w:tblLook w:val="04A0" w:firstRow="1" w:lastRow="0" w:firstColumn="1" w:lastColumn="0" w:noHBand="0" w:noVBand="1"/>
      </w:tblPr>
      <w:tblGrid>
        <w:gridCol w:w="3020"/>
        <w:gridCol w:w="3022"/>
        <w:gridCol w:w="3020"/>
      </w:tblGrid>
      <w:tr w:rsidR="00873176" w14:paraId="6C310078"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78FD2C62" w14:textId="77777777" w:rsidR="00873176" w:rsidRDefault="008F2A6A">
            <w:pPr>
              <w:spacing w:after="0" w:line="259" w:lineRule="auto"/>
              <w:ind w:left="0" w:right="0" w:firstLine="0"/>
              <w:jc w:val="left"/>
            </w:pPr>
            <w:r>
              <w:t xml:space="preserve"> </w:t>
            </w:r>
          </w:p>
          <w:p w14:paraId="239CA822"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BEAF5FF" w14:textId="77777777" w:rsidR="00873176" w:rsidRDefault="008F2A6A">
            <w:pPr>
              <w:spacing w:after="0" w:line="259" w:lineRule="auto"/>
              <w:ind w:left="0" w:right="0" w:firstLine="0"/>
              <w:jc w:val="left"/>
            </w:pPr>
            <w:r>
              <w:t xml:space="preserve">Sanction </w:t>
            </w:r>
          </w:p>
        </w:tc>
        <w:tc>
          <w:tcPr>
            <w:tcW w:w="3020" w:type="dxa"/>
            <w:tcBorders>
              <w:top w:val="single" w:sz="4" w:space="0" w:color="000000"/>
              <w:left w:val="single" w:sz="4" w:space="0" w:color="000000"/>
              <w:bottom w:val="single" w:sz="4" w:space="0" w:color="000000"/>
              <w:right w:val="single" w:sz="4" w:space="0" w:color="000000"/>
            </w:tcBorders>
          </w:tcPr>
          <w:p w14:paraId="0FEC02B8" w14:textId="77777777" w:rsidR="00873176" w:rsidRDefault="008F2A6A">
            <w:pPr>
              <w:spacing w:after="0" w:line="259" w:lineRule="auto"/>
              <w:ind w:left="0" w:right="0" w:firstLine="0"/>
              <w:jc w:val="left"/>
            </w:pPr>
            <w:r>
              <w:t xml:space="preserve">En cas de récidive </w:t>
            </w:r>
          </w:p>
        </w:tc>
      </w:tr>
      <w:tr w:rsidR="00873176" w14:paraId="1D7DFEBC"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2EEBDB34" w14:textId="77777777" w:rsidR="00873176" w:rsidRDefault="008F2A6A">
            <w:pPr>
              <w:spacing w:after="0" w:line="259" w:lineRule="auto"/>
              <w:ind w:left="0" w:right="0" w:firstLine="0"/>
              <w:jc w:val="left"/>
            </w:pPr>
            <w:r>
              <w:t xml:space="preserve">Sanction maximale (%) </w:t>
            </w:r>
          </w:p>
          <w:p w14:paraId="29452B0A"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D90ED9B" w14:textId="77777777" w:rsidR="00873176" w:rsidRDefault="008F2A6A">
            <w:pPr>
              <w:spacing w:after="0" w:line="259" w:lineRule="auto"/>
              <w:ind w:left="0" w:right="0" w:firstLine="0"/>
              <w:jc w:val="left"/>
            </w:pPr>
            <w:r>
              <w:t xml:space="preserve">3% du CA </w:t>
            </w:r>
          </w:p>
        </w:tc>
        <w:tc>
          <w:tcPr>
            <w:tcW w:w="3020" w:type="dxa"/>
            <w:tcBorders>
              <w:top w:val="single" w:sz="4" w:space="0" w:color="000000"/>
              <w:left w:val="single" w:sz="4" w:space="0" w:color="000000"/>
              <w:bottom w:val="single" w:sz="4" w:space="0" w:color="000000"/>
              <w:right w:val="single" w:sz="4" w:space="0" w:color="000000"/>
            </w:tcBorders>
          </w:tcPr>
          <w:p w14:paraId="1BF83E62" w14:textId="77777777" w:rsidR="00873176" w:rsidRDefault="008F2A6A">
            <w:pPr>
              <w:spacing w:after="0" w:line="259" w:lineRule="auto"/>
              <w:ind w:left="0" w:right="0" w:firstLine="0"/>
              <w:jc w:val="left"/>
            </w:pPr>
            <w:r>
              <w:t xml:space="preserve">5% du CA </w:t>
            </w:r>
          </w:p>
        </w:tc>
      </w:tr>
      <w:tr w:rsidR="00873176" w14:paraId="64F9C5AA"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05A23091" w14:textId="77777777" w:rsidR="00873176" w:rsidRDefault="008F2A6A">
            <w:pPr>
              <w:spacing w:after="0" w:line="259" w:lineRule="auto"/>
              <w:ind w:left="0" w:right="0" w:firstLine="0"/>
              <w:jc w:val="left"/>
            </w:pPr>
            <w:r>
              <w:t xml:space="preserve">Sanction maximale (millions d’euros </w:t>
            </w:r>
          </w:p>
        </w:tc>
        <w:tc>
          <w:tcPr>
            <w:tcW w:w="3022" w:type="dxa"/>
            <w:tcBorders>
              <w:top w:val="single" w:sz="4" w:space="0" w:color="000000"/>
              <w:left w:val="single" w:sz="4" w:space="0" w:color="000000"/>
              <w:bottom w:val="single" w:sz="4" w:space="0" w:color="000000"/>
              <w:right w:val="single" w:sz="4" w:space="0" w:color="000000"/>
            </w:tcBorders>
          </w:tcPr>
          <w:p w14:paraId="3A2DDBFB" w14:textId="77777777" w:rsidR="00873176" w:rsidRDefault="008F2A6A">
            <w:pPr>
              <w:spacing w:after="0" w:line="259" w:lineRule="auto"/>
              <w:ind w:left="0" w:right="0" w:firstLine="0"/>
              <w:jc w:val="left"/>
            </w:pPr>
            <w:r>
              <w:rPr>
                <w:b/>
              </w:rPr>
              <w:t xml:space="preserve">30 </w:t>
            </w:r>
          </w:p>
        </w:tc>
        <w:tc>
          <w:tcPr>
            <w:tcW w:w="3020" w:type="dxa"/>
            <w:tcBorders>
              <w:top w:val="single" w:sz="4" w:space="0" w:color="000000"/>
              <w:left w:val="single" w:sz="4" w:space="0" w:color="000000"/>
              <w:bottom w:val="single" w:sz="4" w:space="0" w:color="000000"/>
              <w:right w:val="single" w:sz="4" w:space="0" w:color="000000"/>
            </w:tcBorders>
          </w:tcPr>
          <w:p w14:paraId="0C5CF398" w14:textId="77777777" w:rsidR="00873176" w:rsidRDefault="008F2A6A">
            <w:pPr>
              <w:spacing w:after="0" w:line="259" w:lineRule="auto"/>
              <w:ind w:left="0" w:right="0" w:firstLine="0"/>
              <w:jc w:val="left"/>
            </w:pPr>
            <w:r>
              <w:rPr>
                <w:b/>
              </w:rPr>
              <w:t xml:space="preserve">50 </w:t>
            </w:r>
          </w:p>
        </w:tc>
      </w:tr>
    </w:tbl>
    <w:p w14:paraId="5D20F47B" w14:textId="77777777" w:rsidR="00873176" w:rsidRDefault="008F2A6A">
      <w:pPr>
        <w:spacing w:after="23" w:line="259" w:lineRule="auto"/>
        <w:ind w:left="0" w:right="0" w:firstLine="0"/>
        <w:jc w:val="left"/>
      </w:pPr>
      <w:r>
        <w:t xml:space="preserve"> </w:t>
      </w:r>
    </w:p>
    <w:p w14:paraId="544FF7D6" w14:textId="77777777" w:rsidR="00873176" w:rsidRDefault="008F2A6A">
      <w:pPr>
        <w:spacing w:after="20" w:line="259" w:lineRule="auto"/>
        <w:ind w:left="0" w:right="619" w:firstLine="0"/>
        <w:jc w:val="right"/>
      </w:pPr>
      <w:r>
        <w:t xml:space="preserve">S’il fallait désormais appliquer le mode de calcul retenu dans la rédaction de l’article </w:t>
      </w:r>
    </w:p>
    <w:p w14:paraId="1AE3AED3" w14:textId="77777777" w:rsidR="00873176" w:rsidRDefault="008F2A6A">
      <w:pPr>
        <w:ind w:left="718" w:right="607"/>
      </w:pPr>
      <w:r>
        <w:t xml:space="preserve">13, les chiffres engagés s’établiraient comme suit : </w:t>
      </w:r>
    </w:p>
    <w:p w14:paraId="2BB6A594" w14:textId="77777777" w:rsidR="00873176" w:rsidRDefault="008F2A6A">
      <w:pPr>
        <w:spacing w:after="0" w:line="259" w:lineRule="auto"/>
        <w:ind w:left="0" w:right="0" w:firstLine="0"/>
        <w:jc w:val="left"/>
      </w:pPr>
      <w:r>
        <w:t xml:space="preserve"> </w:t>
      </w:r>
    </w:p>
    <w:tbl>
      <w:tblPr>
        <w:tblStyle w:val="TableGrid"/>
        <w:tblW w:w="9062" w:type="dxa"/>
        <w:tblInd w:w="5" w:type="dxa"/>
        <w:tblCellMar>
          <w:top w:w="14" w:type="dxa"/>
          <w:left w:w="108" w:type="dxa"/>
          <w:bottom w:w="0" w:type="dxa"/>
          <w:right w:w="48" w:type="dxa"/>
        </w:tblCellMar>
        <w:tblLook w:val="04A0" w:firstRow="1" w:lastRow="0" w:firstColumn="1" w:lastColumn="0" w:noHBand="0" w:noVBand="1"/>
      </w:tblPr>
      <w:tblGrid>
        <w:gridCol w:w="3020"/>
        <w:gridCol w:w="3022"/>
        <w:gridCol w:w="3020"/>
      </w:tblGrid>
      <w:tr w:rsidR="00873176" w14:paraId="6DBAEDC9"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18FAD8D6" w14:textId="77777777" w:rsidR="00873176" w:rsidRDefault="008F2A6A">
            <w:pPr>
              <w:spacing w:after="0" w:line="259" w:lineRule="auto"/>
              <w:ind w:left="0" w:right="0" w:firstLine="0"/>
              <w:jc w:val="left"/>
            </w:pPr>
            <w:r>
              <w:t xml:space="preserve"> </w:t>
            </w:r>
          </w:p>
          <w:p w14:paraId="6A5D5AD0"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A71CBEF" w14:textId="77777777" w:rsidR="00873176" w:rsidRDefault="008F2A6A">
            <w:pPr>
              <w:spacing w:after="0" w:line="259" w:lineRule="auto"/>
              <w:ind w:left="0" w:right="0" w:firstLine="0"/>
              <w:jc w:val="left"/>
            </w:pPr>
            <w:r>
              <w:t xml:space="preserve">Sanction </w:t>
            </w:r>
          </w:p>
        </w:tc>
        <w:tc>
          <w:tcPr>
            <w:tcW w:w="3020" w:type="dxa"/>
            <w:tcBorders>
              <w:top w:val="single" w:sz="4" w:space="0" w:color="000000"/>
              <w:left w:val="single" w:sz="4" w:space="0" w:color="000000"/>
              <w:bottom w:val="single" w:sz="4" w:space="0" w:color="000000"/>
              <w:right w:val="single" w:sz="4" w:space="0" w:color="000000"/>
            </w:tcBorders>
          </w:tcPr>
          <w:p w14:paraId="1AA958A8" w14:textId="77777777" w:rsidR="00873176" w:rsidRDefault="008F2A6A">
            <w:pPr>
              <w:spacing w:after="0" w:line="259" w:lineRule="auto"/>
              <w:ind w:left="0" w:right="0" w:firstLine="0"/>
              <w:jc w:val="left"/>
            </w:pPr>
            <w:r>
              <w:t xml:space="preserve">En cas de récidive </w:t>
            </w:r>
          </w:p>
        </w:tc>
      </w:tr>
      <w:tr w:rsidR="00873176" w14:paraId="2CBCB731" w14:textId="77777777">
        <w:trPr>
          <w:trHeight w:val="564"/>
        </w:trPr>
        <w:tc>
          <w:tcPr>
            <w:tcW w:w="3020" w:type="dxa"/>
            <w:tcBorders>
              <w:top w:val="single" w:sz="4" w:space="0" w:color="000000"/>
              <w:left w:val="single" w:sz="4" w:space="0" w:color="000000"/>
              <w:bottom w:val="single" w:sz="4" w:space="0" w:color="000000"/>
              <w:right w:val="single" w:sz="4" w:space="0" w:color="000000"/>
            </w:tcBorders>
          </w:tcPr>
          <w:p w14:paraId="3741202C" w14:textId="77777777" w:rsidR="00873176" w:rsidRDefault="008F2A6A">
            <w:pPr>
              <w:spacing w:after="0" w:line="259" w:lineRule="auto"/>
              <w:ind w:left="0" w:right="0" w:firstLine="0"/>
              <w:jc w:val="left"/>
            </w:pPr>
            <w:r>
              <w:t xml:space="preserve">Sanction maximale </w:t>
            </w:r>
          </w:p>
          <w:p w14:paraId="587BFE0B"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7CDBF78" w14:textId="77777777" w:rsidR="00873176" w:rsidRDefault="008F2A6A">
            <w:pPr>
              <w:spacing w:after="0" w:line="259" w:lineRule="auto"/>
              <w:ind w:left="0" w:right="0" w:firstLine="0"/>
              <w:jc w:val="left"/>
            </w:pPr>
            <w:r>
              <w:t xml:space="preserve">2 x obligation </w:t>
            </w:r>
          </w:p>
        </w:tc>
        <w:tc>
          <w:tcPr>
            <w:tcW w:w="3020" w:type="dxa"/>
            <w:tcBorders>
              <w:top w:val="single" w:sz="4" w:space="0" w:color="000000"/>
              <w:left w:val="single" w:sz="4" w:space="0" w:color="000000"/>
              <w:bottom w:val="single" w:sz="4" w:space="0" w:color="000000"/>
              <w:right w:val="single" w:sz="4" w:space="0" w:color="000000"/>
            </w:tcBorders>
          </w:tcPr>
          <w:p w14:paraId="1B371F69" w14:textId="77777777" w:rsidR="00873176" w:rsidRDefault="008F2A6A">
            <w:pPr>
              <w:spacing w:after="0" w:line="259" w:lineRule="auto"/>
              <w:ind w:left="0" w:right="0" w:firstLine="0"/>
              <w:jc w:val="left"/>
            </w:pPr>
            <w:r>
              <w:t xml:space="preserve">3 x obligation </w:t>
            </w:r>
          </w:p>
        </w:tc>
      </w:tr>
      <w:tr w:rsidR="00873176" w14:paraId="31F36D17"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5ECCA78B" w14:textId="77777777" w:rsidR="00873176" w:rsidRDefault="008F2A6A">
            <w:pPr>
              <w:spacing w:after="0" w:line="259" w:lineRule="auto"/>
              <w:ind w:left="0" w:right="0" w:firstLine="0"/>
              <w:jc w:val="left"/>
            </w:pPr>
            <w:r>
              <w:t xml:space="preserve">Sanction maximale (millions d’euros </w:t>
            </w:r>
          </w:p>
        </w:tc>
        <w:tc>
          <w:tcPr>
            <w:tcW w:w="3022" w:type="dxa"/>
            <w:tcBorders>
              <w:top w:val="single" w:sz="4" w:space="0" w:color="000000"/>
              <w:left w:val="single" w:sz="4" w:space="0" w:color="000000"/>
              <w:bottom w:val="single" w:sz="4" w:space="0" w:color="000000"/>
              <w:right w:val="single" w:sz="4" w:space="0" w:color="000000"/>
            </w:tcBorders>
          </w:tcPr>
          <w:p w14:paraId="6C446A0B" w14:textId="77777777" w:rsidR="00873176" w:rsidRDefault="008F2A6A">
            <w:pPr>
              <w:spacing w:after="0" w:line="259" w:lineRule="auto"/>
              <w:ind w:left="0" w:right="0" w:firstLine="0"/>
              <w:jc w:val="left"/>
            </w:pPr>
            <w:r>
              <w:rPr>
                <w:b/>
              </w:rPr>
              <w:t xml:space="preserve">300 </w:t>
            </w:r>
          </w:p>
        </w:tc>
        <w:tc>
          <w:tcPr>
            <w:tcW w:w="3020" w:type="dxa"/>
            <w:tcBorders>
              <w:top w:val="single" w:sz="4" w:space="0" w:color="000000"/>
              <w:left w:val="single" w:sz="4" w:space="0" w:color="000000"/>
              <w:bottom w:val="single" w:sz="4" w:space="0" w:color="000000"/>
              <w:right w:val="single" w:sz="4" w:space="0" w:color="000000"/>
            </w:tcBorders>
          </w:tcPr>
          <w:p w14:paraId="17A50D14" w14:textId="77777777" w:rsidR="00873176" w:rsidRDefault="008F2A6A">
            <w:pPr>
              <w:spacing w:after="0" w:line="259" w:lineRule="auto"/>
              <w:ind w:left="0" w:right="0" w:firstLine="0"/>
              <w:jc w:val="left"/>
            </w:pPr>
            <w:r>
              <w:rPr>
                <w:b/>
              </w:rPr>
              <w:t xml:space="preserve">450 </w:t>
            </w:r>
          </w:p>
        </w:tc>
      </w:tr>
    </w:tbl>
    <w:p w14:paraId="62ACE75E" w14:textId="77777777" w:rsidR="00873176" w:rsidRDefault="008F2A6A">
      <w:pPr>
        <w:spacing w:after="26" w:line="259" w:lineRule="auto"/>
        <w:ind w:left="0" w:right="0" w:firstLine="0"/>
        <w:jc w:val="left"/>
      </w:pPr>
      <w:r>
        <w:t xml:space="preserve"> </w:t>
      </w:r>
    </w:p>
    <w:p w14:paraId="1E34DD16" w14:textId="77777777" w:rsidR="00873176" w:rsidRDefault="008F2A6A">
      <w:pPr>
        <w:numPr>
          <w:ilvl w:val="0"/>
          <w:numId w:val="1"/>
        </w:numPr>
        <w:ind w:right="607" w:hanging="360"/>
      </w:pPr>
      <w:r>
        <w:t>Si l’on prend l’exemple d’un service de cinéma de 1ère diffusion de télévision payante et ses obligations en matière de production cinématographique en formant l’hypothèse d’un chiffre d’affaires de référence de 500 millions d’euros, l’obligation de référe</w:t>
      </w:r>
      <w:r>
        <w:t xml:space="preserve">nce est de 130 millions d’euros (correspondant à 26% du CA en application de l’article 35 du décret 2010-747 précité). Dans le cadre actuel, le plafond de la sanction financière est le suivant : </w:t>
      </w:r>
    </w:p>
    <w:p w14:paraId="6D1269F5" w14:textId="77777777" w:rsidR="00873176" w:rsidRDefault="008F2A6A">
      <w:pPr>
        <w:spacing w:after="0" w:line="259" w:lineRule="auto"/>
        <w:ind w:left="0" w:right="0" w:firstLine="0"/>
        <w:jc w:val="left"/>
      </w:pPr>
      <w:r>
        <w:t xml:space="preserve"> </w:t>
      </w:r>
    </w:p>
    <w:tbl>
      <w:tblPr>
        <w:tblStyle w:val="TableGrid"/>
        <w:tblW w:w="9062" w:type="dxa"/>
        <w:tblInd w:w="5" w:type="dxa"/>
        <w:tblCellMar>
          <w:top w:w="14" w:type="dxa"/>
          <w:left w:w="108" w:type="dxa"/>
          <w:bottom w:w="0" w:type="dxa"/>
          <w:right w:w="48" w:type="dxa"/>
        </w:tblCellMar>
        <w:tblLook w:val="04A0" w:firstRow="1" w:lastRow="0" w:firstColumn="1" w:lastColumn="0" w:noHBand="0" w:noVBand="1"/>
      </w:tblPr>
      <w:tblGrid>
        <w:gridCol w:w="3020"/>
        <w:gridCol w:w="3022"/>
        <w:gridCol w:w="3020"/>
      </w:tblGrid>
      <w:tr w:rsidR="00873176" w14:paraId="5A35993D"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7677DB74" w14:textId="77777777" w:rsidR="00873176" w:rsidRDefault="008F2A6A">
            <w:pPr>
              <w:spacing w:after="0" w:line="259" w:lineRule="auto"/>
              <w:ind w:left="0" w:right="0" w:firstLine="0"/>
              <w:jc w:val="left"/>
            </w:pPr>
            <w:r>
              <w:t xml:space="preserve"> </w:t>
            </w:r>
          </w:p>
          <w:p w14:paraId="6F2AF04B"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D515086" w14:textId="77777777" w:rsidR="00873176" w:rsidRDefault="008F2A6A">
            <w:pPr>
              <w:spacing w:after="0" w:line="259" w:lineRule="auto"/>
              <w:ind w:left="0" w:right="0" w:firstLine="0"/>
              <w:jc w:val="left"/>
            </w:pPr>
            <w:r>
              <w:t xml:space="preserve">Sanction </w:t>
            </w:r>
          </w:p>
        </w:tc>
        <w:tc>
          <w:tcPr>
            <w:tcW w:w="3020" w:type="dxa"/>
            <w:tcBorders>
              <w:top w:val="single" w:sz="4" w:space="0" w:color="000000"/>
              <w:left w:val="single" w:sz="4" w:space="0" w:color="000000"/>
              <w:bottom w:val="single" w:sz="4" w:space="0" w:color="000000"/>
              <w:right w:val="single" w:sz="4" w:space="0" w:color="000000"/>
            </w:tcBorders>
          </w:tcPr>
          <w:p w14:paraId="138B1872" w14:textId="77777777" w:rsidR="00873176" w:rsidRDefault="008F2A6A">
            <w:pPr>
              <w:spacing w:after="0" w:line="259" w:lineRule="auto"/>
              <w:ind w:left="0" w:right="0" w:firstLine="0"/>
              <w:jc w:val="left"/>
            </w:pPr>
            <w:r>
              <w:t xml:space="preserve">En cas de récidive </w:t>
            </w:r>
          </w:p>
        </w:tc>
      </w:tr>
      <w:tr w:rsidR="00873176" w14:paraId="1456A8AE"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5544B278" w14:textId="77777777" w:rsidR="00873176" w:rsidRDefault="008F2A6A">
            <w:pPr>
              <w:spacing w:after="0" w:line="259" w:lineRule="auto"/>
              <w:ind w:left="0" w:right="0" w:firstLine="0"/>
              <w:jc w:val="left"/>
            </w:pPr>
            <w:r>
              <w:t xml:space="preserve">Sanction maximale (%) </w:t>
            </w:r>
          </w:p>
          <w:p w14:paraId="477F825B"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1B8B1F5" w14:textId="77777777" w:rsidR="00873176" w:rsidRDefault="008F2A6A">
            <w:pPr>
              <w:spacing w:after="0" w:line="259" w:lineRule="auto"/>
              <w:ind w:left="0" w:right="0" w:firstLine="0"/>
              <w:jc w:val="left"/>
            </w:pPr>
            <w:r>
              <w:t xml:space="preserve">3% du CA </w:t>
            </w:r>
          </w:p>
        </w:tc>
        <w:tc>
          <w:tcPr>
            <w:tcW w:w="3020" w:type="dxa"/>
            <w:tcBorders>
              <w:top w:val="single" w:sz="4" w:space="0" w:color="000000"/>
              <w:left w:val="single" w:sz="4" w:space="0" w:color="000000"/>
              <w:bottom w:val="single" w:sz="4" w:space="0" w:color="000000"/>
              <w:right w:val="single" w:sz="4" w:space="0" w:color="000000"/>
            </w:tcBorders>
          </w:tcPr>
          <w:p w14:paraId="258FAFC4" w14:textId="77777777" w:rsidR="00873176" w:rsidRDefault="008F2A6A">
            <w:pPr>
              <w:spacing w:after="0" w:line="259" w:lineRule="auto"/>
              <w:ind w:left="0" w:right="0" w:firstLine="0"/>
              <w:jc w:val="left"/>
            </w:pPr>
            <w:r>
              <w:t xml:space="preserve">5% du CA </w:t>
            </w:r>
          </w:p>
        </w:tc>
      </w:tr>
      <w:tr w:rsidR="00873176" w14:paraId="722068C2"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5B91E7B6" w14:textId="77777777" w:rsidR="00873176" w:rsidRDefault="008F2A6A">
            <w:pPr>
              <w:spacing w:after="0" w:line="259" w:lineRule="auto"/>
              <w:ind w:left="0" w:right="0" w:firstLine="0"/>
              <w:jc w:val="left"/>
            </w:pPr>
            <w:r>
              <w:t xml:space="preserve">Sanction maximale (millions d’euros </w:t>
            </w:r>
          </w:p>
        </w:tc>
        <w:tc>
          <w:tcPr>
            <w:tcW w:w="3022" w:type="dxa"/>
            <w:tcBorders>
              <w:top w:val="single" w:sz="4" w:space="0" w:color="000000"/>
              <w:left w:val="single" w:sz="4" w:space="0" w:color="000000"/>
              <w:bottom w:val="single" w:sz="4" w:space="0" w:color="000000"/>
              <w:right w:val="single" w:sz="4" w:space="0" w:color="000000"/>
            </w:tcBorders>
          </w:tcPr>
          <w:p w14:paraId="07731C6B" w14:textId="77777777" w:rsidR="00873176" w:rsidRDefault="008F2A6A">
            <w:pPr>
              <w:spacing w:after="0" w:line="259" w:lineRule="auto"/>
              <w:ind w:left="0" w:right="0" w:firstLine="0"/>
              <w:jc w:val="left"/>
            </w:pPr>
            <w:r>
              <w:rPr>
                <w:b/>
              </w:rPr>
              <w:t xml:space="preserve">15 </w:t>
            </w:r>
          </w:p>
        </w:tc>
        <w:tc>
          <w:tcPr>
            <w:tcW w:w="3020" w:type="dxa"/>
            <w:tcBorders>
              <w:top w:val="single" w:sz="4" w:space="0" w:color="000000"/>
              <w:left w:val="single" w:sz="4" w:space="0" w:color="000000"/>
              <w:bottom w:val="single" w:sz="4" w:space="0" w:color="000000"/>
              <w:right w:val="single" w:sz="4" w:space="0" w:color="000000"/>
            </w:tcBorders>
          </w:tcPr>
          <w:p w14:paraId="6615EC8A" w14:textId="77777777" w:rsidR="00873176" w:rsidRDefault="008F2A6A">
            <w:pPr>
              <w:spacing w:after="0" w:line="259" w:lineRule="auto"/>
              <w:ind w:left="0" w:right="0" w:firstLine="0"/>
              <w:jc w:val="left"/>
            </w:pPr>
            <w:r>
              <w:rPr>
                <w:b/>
              </w:rPr>
              <w:t xml:space="preserve">25 </w:t>
            </w:r>
          </w:p>
        </w:tc>
      </w:tr>
    </w:tbl>
    <w:p w14:paraId="605FD9A1" w14:textId="77777777" w:rsidR="00873176" w:rsidRDefault="008F2A6A">
      <w:pPr>
        <w:spacing w:after="16" w:line="259" w:lineRule="auto"/>
        <w:ind w:left="0" w:right="0" w:firstLine="0"/>
        <w:jc w:val="left"/>
      </w:pPr>
      <w:r>
        <w:t xml:space="preserve"> </w:t>
      </w:r>
    </w:p>
    <w:p w14:paraId="582CD8C4" w14:textId="77777777" w:rsidR="00873176" w:rsidRDefault="008F2A6A">
      <w:pPr>
        <w:spacing w:after="30"/>
        <w:ind w:left="718" w:right="607"/>
      </w:pPr>
      <w:r>
        <w:t xml:space="preserve">S’il fallait maintenant appliquer le mode de calcul retenu dans l’article 13, les chiffres engagés s’établiraient comme suit : </w:t>
      </w:r>
    </w:p>
    <w:p w14:paraId="4B84CAE4" w14:textId="77777777" w:rsidR="00873176" w:rsidRDefault="008F2A6A">
      <w:pPr>
        <w:spacing w:after="0" w:line="259" w:lineRule="auto"/>
        <w:ind w:left="0" w:right="0" w:firstLine="0"/>
        <w:jc w:val="left"/>
      </w:pPr>
      <w:r>
        <w:t xml:space="preserve"> </w:t>
      </w:r>
    </w:p>
    <w:tbl>
      <w:tblPr>
        <w:tblStyle w:val="TableGrid"/>
        <w:tblW w:w="9062" w:type="dxa"/>
        <w:tblInd w:w="5" w:type="dxa"/>
        <w:tblCellMar>
          <w:top w:w="14" w:type="dxa"/>
          <w:left w:w="108" w:type="dxa"/>
          <w:bottom w:w="0" w:type="dxa"/>
          <w:right w:w="48" w:type="dxa"/>
        </w:tblCellMar>
        <w:tblLook w:val="04A0" w:firstRow="1" w:lastRow="0" w:firstColumn="1" w:lastColumn="0" w:noHBand="0" w:noVBand="1"/>
      </w:tblPr>
      <w:tblGrid>
        <w:gridCol w:w="3020"/>
        <w:gridCol w:w="3022"/>
        <w:gridCol w:w="3020"/>
      </w:tblGrid>
      <w:tr w:rsidR="00873176" w14:paraId="6B8231E9" w14:textId="77777777">
        <w:trPr>
          <w:trHeight w:val="565"/>
        </w:trPr>
        <w:tc>
          <w:tcPr>
            <w:tcW w:w="3020" w:type="dxa"/>
            <w:tcBorders>
              <w:top w:val="single" w:sz="4" w:space="0" w:color="000000"/>
              <w:left w:val="single" w:sz="4" w:space="0" w:color="000000"/>
              <w:bottom w:val="single" w:sz="4" w:space="0" w:color="000000"/>
              <w:right w:val="single" w:sz="4" w:space="0" w:color="000000"/>
            </w:tcBorders>
          </w:tcPr>
          <w:p w14:paraId="4068780D" w14:textId="77777777" w:rsidR="00873176" w:rsidRDefault="008F2A6A">
            <w:pPr>
              <w:spacing w:after="0" w:line="259" w:lineRule="auto"/>
              <w:ind w:left="0" w:right="0" w:firstLine="0"/>
              <w:jc w:val="left"/>
            </w:pPr>
            <w:r>
              <w:t xml:space="preserve"> </w:t>
            </w:r>
          </w:p>
          <w:p w14:paraId="02D261CB"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BFE5EC5" w14:textId="77777777" w:rsidR="00873176" w:rsidRDefault="008F2A6A">
            <w:pPr>
              <w:spacing w:after="0" w:line="259" w:lineRule="auto"/>
              <w:ind w:left="0" w:right="0" w:firstLine="0"/>
              <w:jc w:val="left"/>
            </w:pPr>
            <w:r>
              <w:t xml:space="preserve">Sanction </w:t>
            </w:r>
          </w:p>
        </w:tc>
        <w:tc>
          <w:tcPr>
            <w:tcW w:w="3020" w:type="dxa"/>
            <w:tcBorders>
              <w:top w:val="single" w:sz="4" w:space="0" w:color="000000"/>
              <w:left w:val="single" w:sz="4" w:space="0" w:color="000000"/>
              <w:bottom w:val="single" w:sz="4" w:space="0" w:color="000000"/>
              <w:right w:val="single" w:sz="4" w:space="0" w:color="000000"/>
            </w:tcBorders>
          </w:tcPr>
          <w:p w14:paraId="488683FC" w14:textId="77777777" w:rsidR="00873176" w:rsidRDefault="008F2A6A">
            <w:pPr>
              <w:spacing w:after="0" w:line="259" w:lineRule="auto"/>
              <w:ind w:left="0" w:right="0" w:firstLine="0"/>
              <w:jc w:val="left"/>
            </w:pPr>
            <w:r>
              <w:t xml:space="preserve">En cas de récidive </w:t>
            </w:r>
          </w:p>
        </w:tc>
      </w:tr>
      <w:tr w:rsidR="00873176" w14:paraId="5E0D42D6"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7CC1AFE7" w14:textId="77777777" w:rsidR="00873176" w:rsidRDefault="008F2A6A">
            <w:pPr>
              <w:spacing w:after="0" w:line="259" w:lineRule="auto"/>
              <w:ind w:left="0" w:right="0" w:firstLine="0"/>
              <w:jc w:val="left"/>
            </w:pPr>
            <w:r>
              <w:lastRenderedPageBreak/>
              <w:t xml:space="preserve">Sanction maximale (%) </w:t>
            </w:r>
          </w:p>
          <w:p w14:paraId="2D861F4A" w14:textId="77777777" w:rsidR="00873176" w:rsidRDefault="008F2A6A">
            <w:pPr>
              <w:spacing w:after="0" w:line="259" w:lineRule="auto"/>
              <w:ind w:left="0" w:right="0" w:firstLine="0"/>
              <w:jc w:val="left"/>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D6B22CB" w14:textId="77777777" w:rsidR="00873176" w:rsidRDefault="008F2A6A">
            <w:pPr>
              <w:spacing w:after="0" w:line="259" w:lineRule="auto"/>
              <w:ind w:left="0" w:right="0" w:firstLine="0"/>
              <w:jc w:val="left"/>
            </w:pPr>
            <w:r>
              <w:t xml:space="preserve">2 x obligation </w:t>
            </w:r>
          </w:p>
        </w:tc>
        <w:tc>
          <w:tcPr>
            <w:tcW w:w="3020" w:type="dxa"/>
            <w:tcBorders>
              <w:top w:val="single" w:sz="4" w:space="0" w:color="000000"/>
              <w:left w:val="single" w:sz="4" w:space="0" w:color="000000"/>
              <w:bottom w:val="single" w:sz="4" w:space="0" w:color="000000"/>
              <w:right w:val="single" w:sz="4" w:space="0" w:color="000000"/>
            </w:tcBorders>
          </w:tcPr>
          <w:p w14:paraId="62226F1B" w14:textId="77777777" w:rsidR="00873176" w:rsidRDefault="008F2A6A">
            <w:pPr>
              <w:spacing w:after="0" w:line="259" w:lineRule="auto"/>
              <w:ind w:left="0" w:right="0" w:firstLine="0"/>
              <w:jc w:val="left"/>
            </w:pPr>
            <w:r>
              <w:t xml:space="preserve">3 x obligation </w:t>
            </w:r>
          </w:p>
        </w:tc>
      </w:tr>
      <w:tr w:rsidR="00873176" w14:paraId="381CC268"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3DC9F863" w14:textId="77777777" w:rsidR="00873176" w:rsidRDefault="008F2A6A">
            <w:pPr>
              <w:spacing w:after="0" w:line="259" w:lineRule="auto"/>
              <w:ind w:left="0" w:right="0" w:firstLine="0"/>
              <w:jc w:val="left"/>
            </w:pPr>
            <w:r>
              <w:t xml:space="preserve">Sanction maximale (millions d’euros </w:t>
            </w:r>
          </w:p>
        </w:tc>
        <w:tc>
          <w:tcPr>
            <w:tcW w:w="3022" w:type="dxa"/>
            <w:tcBorders>
              <w:top w:val="single" w:sz="4" w:space="0" w:color="000000"/>
              <w:left w:val="single" w:sz="4" w:space="0" w:color="000000"/>
              <w:bottom w:val="single" w:sz="4" w:space="0" w:color="000000"/>
              <w:right w:val="single" w:sz="4" w:space="0" w:color="000000"/>
            </w:tcBorders>
          </w:tcPr>
          <w:p w14:paraId="084AD658" w14:textId="77777777" w:rsidR="00873176" w:rsidRDefault="008F2A6A">
            <w:pPr>
              <w:spacing w:after="0" w:line="259" w:lineRule="auto"/>
              <w:ind w:left="0" w:right="0" w:firstLine="0"/>
              <w:jc w:val="left"/>
            </w:pPr>
            <w:r>
              <w:rPr>
                <w:b/>
              </w:rPr>
              <w:t xml:space="preserve">260 </w:t>
            </w:r>
          </w:p>
        </w:tc>
        <w:tc>
          <w:tcPr>
            <w:tcW w:w="3020" w:type="dxa"/>
            <w:tcBorders>
              <w:top w:val="single" w:sz="4" w:space="0" w:color="000000"/>
              <w:left w:val="single" w:sz="4" w:space="0" w:color="000000"/>
              <w:bottom w:val="single" w:sz="4" w:space="0" w:color="000000"/>
              <w:right w:val="single" w:sz="4" w:space="0" w:color="000000"/>
            </w:tcBorders>
          </w:tcPr>
          <w:p w14:paraId="3A0DA26B" w14:textId="77777777" w:rsidR="00873176" w:rsidRDefault="008F2A6A">
            <w:pPr>
              <w:spacing w:after="0" w:line="259" w:lineRule="auto"/>
              <w:ind w:left="0" w:right="0" w:firstLine="0"/>
              <w:jc w:val="left"/>
            </w:pPr>
            <w:r>
              <w:rPr>
                <w:b/>
              </w:rPr>
              <w:t xml:space="preserve">390 </w:t>
            </w:r>
          </w:p>
        </w:tc>
      </w:tr>
    </w:tbl>
    <w:p w14:paraId="425AD9F6" w14:textId="77777777" w:rsidR="00873176" w:rsidRDefault="008F2A6A">
      <w:pPr>
        <w:spacing w:after="0" w:line="259" w:lineRule="auto"/>
        <w:ind w:left="0" w:right="0" w:firstLine="0"/>
        <w:jc w:val="left"/>
      </w:pPr>
      <w:r>
        <w:t xml:space="preserve"> </w:t>
      </w:r>
    </w:p>
    <w:p w14:paraId="32688577" w14:textId="77777777" w:rsidR="00873176" w:rsidRDefault="008F2A6A">
      <w:pPr>
        <w:spacing w:after="0" w:line="259" w:lineRule="auto"/>
        <w:ind w:left="0" w:right="0" w:firstLine="0"/>
        <w:jc w:val="left"/>
      </w:pPr>
      <w:r>
        <w:t xml:space="preserve"> </w:t>
      </w:r>
    </w:p>
    <w:p w14:paraId="6ED4EA90" w14:textId="77777777" w:rsidR="00873176" w:rsidRDefault="008F2A6A">
      <w:pPr>
        <w:ind w:left="10" w:right="607"/>
      </w:pPr>
      <w:r>
        <w:t>Enfin, un dernier argument peut être invoqué à l’appui du caractère disproportionné des dispositions de l’article 13 : la jurisprudence du Conseil constitutionnel laisse une large place à la nécessaire pr</w:t>
      </w:r>
      <w:r>
        <w:t xml:space="preserve">ise en compte de la bonne foi du contrevenant, c’est-à-dire au caractère possiblement non intentionnel de certaines infractions. </w:t>
      </w:r>
    </w:p>
    <w:p w14:paraId="79378953" w14:textId="77777777" w:rsidR="00873176" w:rsidRDefault="008F2A6A">
      <w:pPr>
        <w:spacing w:after="0" w:line="259" w:lineRule="auto"/>
        <w:ind w:left="0" w:right="0" w:firstLine="0"/>
        <w:jc w:val="left"/>
      </w:pPr>
      <w:r>
        <w:t xml:space="preserve"> </w:t>
      </w:r>
    </w:p>
    <w:p w14:paraId="629C2E76" w14:textId="77777777" w:rsidR="00873176" w:rsidRDefault="008F2A6A">
      <w:pPr>
        <w:spacing w:after="0"/>
        <w:ind w:left="-5" w:right="609"/>
      </w:pPr>
      <w:r>
        <w:t xml:space="preserve">Ainsi dans une décision n° 2018-739 QPC du 12 octobre 2018, Sté Dom Com Invest, concernant la sanction d’un avantage fiscal </w:t>
      </w:r>
      <w:r>
        <w:t xml:space="preserve">indûment obtenu, sans considération de la bonne foi de l'auteur du manquement sanctionné : « </w:t>
      </w:r>
      <w:r>
        <w:rPr>
          <w:i/>
        </w:rPr>
        <w:t>le législateur a poursuivi l'objectif à valeur constitutionnelle de lutte contre la fraude et l'évasion fiscales. Toutefois, en sanctionnant d'une amende d'un mont</w:t>
      </w:r>
      <w:r>
        <w:rPr>
          <w:i/>
        </w:rPr>
        <w:t>ant égal à l'avantage fiscal indûment obtenu par un tiers ou à 25 % des sommes indûment mentionnées sur le document sans que soit établi le caractère intentionnel du manquement réprimé, le législateur a institué une amende revêtant un caractère manifesteme</w:t>
      </w:r>
      <w:r>
        <w:rPr>
          <w:i/>
        </w:rPr>
        <w:t>nt hors de proportion avec la gravité de ce manquement. Par conséquent, le premier alinéa de l'article 1740 A du code général des impôts, qui méconnaît le principe de proportionnalité des peines, doit être déclaré contraire à la Constitution, sans qu'il so</w:t>
      </w:r>
      <w:r>
        <w:rPr>
          <w:i/>
        </w:rPr>
        <w:t xml:space="preserve">it besoin d'examiner l'autre grief </w:t>
      </w:r>
      <w:r>
        <w:t xml:space="preserve">». </w:t>
      </w:r>
    </w:p>
    <w:p w14:paraId="1CAF41B5" w14:textId="77777777" w:rsidR="00873176" w:rsidRDefault="008F2A6A">
      <w:pPr>
        <w:spacing w:after="0" w:line="259" w:lineRule="auto"/>
        <w:ind w:left="0" w:right="0" w:firstLine="0"/>
        <w:jc w:val="left"/>
      </w:pPr>
      <w:r>
        <w:t xml:space="preserve"> </w:t>
      </w:r>
    </w:p>
    <w:p w14:paraId="0A787242" w14:textId="77777777" w:rsidR="00873176" w:rsidRDefault="008F2A6A">
      <w:pPr>
        <w:ind w:left="10" w:right="607"/>
      </w:pPr>
      <w:r>
        <w:t>En l’espèce, le calcul de la contribution des éditeurs de services à la production cinématographique et à la production audiovisuelle est objectivement compliqué. Il donne fréquemment lieu à des désaccords entre l’a</w:t>
      </w:r>
      <w:r>
        <w:t>dministration et les redevables. La probabilité est donc très forte de voir l’</w:t>
      </w:r>
      <w:proofErr w:type="spellStart"/>
      <w:r>
        <w:t>Arcom</w:t>
      </w:r>
      <w:proofErr w:type="spellEnd"/>
      <w:r>
        <w:t xml:space="preserve"> sanctionner un manquement portant sur une fraction de contribution que l’éditeur a des raisons sérieuses de n’avoir pas pensé due. On peut en déduire une disproportion flag</w:t>
      </w:r>
      <w:r>
        <w:t xml:space="preserve">rante de la sanction.  </w:t>
      </w:r>
    </w:p>
    <w:p w14:paraId="49C3F59D" w14:textId="77777777" w:rsidR="00873176" w:rsidRDefault="008F2A6A">
      <w:pPr>
        <w:spacing w:after="0" w:line="259" w:lineRule="auto"/>
        <w:ind w:left="0" w:right="0" w:firstLine="0"/>
        <w:jc w:val="left"/>
      </w:pPr>
      <w:r>
        <w:t xml:space="preserve"> </w:t>
      </w:r>
    </w:p>
    <w:p w14:paraId="7DB2653E" w14:textId="77777777" w:rsidR="00873176" w:rsidRDefault="008F2A6A">
      <w:pPr>
        <w:ind w:left="10" w:right="607"/>
      </w:pPr>
      <w:r>
        <w:t xml:space="preserve">Pour l’ensemble de ces raisons, les sénateurs soussignés demandent au Conseil constitutionnel de déclarer l’article 13 contraire à la Constitution. </w:t>
      </w:r>
    </w:p>
    <w:p w14:paraId="3FE2FA3A" w14:textId="77777777" w:rsidR="00873176" w:rsidRDefault="008F2A6A">
      <w:pPr>
        <w:spacing w:after="0" w:line="259" w:lineRule="auto"/>
        <w:ind w:left="0" w:right="0" w:firstLine="0"/>
        <w:jc w:val="left"/>
      </w:pPr>
      <w:r>
        <w:t xml:space="preserve"> </w:t>
      </w:r>
    </w:p>
    <w:p w14:paraId="01A662E8" w14:textId="77777777" w:rsidR="00873176" w:rsidRDefault="008F2A6A">
      <w:pPr>
        <w:ind w:left="10" w:right="607"/>
      </w:pPr>
      <w:r>
        <w:t xml:space="preserve">Les sénateurs soussignés complèteront, le cas échéant, cette demande dans des délais raisonnables. </w:t>
      </w:r>
    </w:p>
    <w:sectPr w:rsidR="00873176">
      <w:headerReference w:type="even" r:id="rId13"/>
      <w:headerReference w:type="default" r:id="rId14"/>
      <w:headerReference w:type="first" r:id="rId15"/>
      <w:pgSz w:w="11906" w:h="16841"/>
      <w:pgMar w:top="772" w:right="797" w:bottom="161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D257" w14:textId="77777777" w:rsidR="008F2A6A" w:rsidRDefault="008F2A6A">
      <w:pPr>
        <w:spacing w:after="0" w:line="240" w:lineRule="auto"/>
      </w:pPr>
      <w:r>
        <w:separator/>
      </w:r>
    </w:p>
  </w:endnote>
  <w:endnote w:type="continuationSeparator" w:id="0">
    <w:p w14:paraId="4B62AAC3" w14:textId="77777777" w:rsidR="008F2A6A" w:rsidRDefault="008F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9E5D" w14:textId="77777777" w:rsidR="008F2A6A" w:rsidRDefault="008F2A6A">
      <w:pPr>
        <w:spacing w:after="0" w:line="240" w:lineRule="auto"/>
      </w:pPr>
      <w:r>
        <w:separator/>
      </w:r>
    </w:p>
  </w:footnote>
  <w:footnote w:type="continuationSeparator" w:id="0">
    <w:p w14:paraId="465FD56B" w14:textId="77777777" w:rsidR="008F2A6A" w:rsidRDefault="008F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DAED" w14:textId="77777777" w:rsidR="00873176" w:rsidRDefault="008F2A6A">
    <w:pPr>
      <w:spacing w:after="0" w:line="259" w:lineRule="auto"/>
      <w:ind w:left="0" w:right="51" w:firstLine="0"/>
      <w:jc w:val="right"/>
    </w:pPr>
    <w:r>
      <w:t xml:space="preserve">- </w:t>
    </w:r>
    <w:r>
      <w:fldChar w:fldCharType="begin"/>
    </w:r>
    <w:r>
      <w:instrText xml:space="preserve"> PAGE   \* MERGEFORMAT </w:instrText>
    </w:r>
    <w:r>
      <w:fldChar w:fldCharType="separate"/>
    </w:r>
    <w:r>
      <w:t>2</w:t>
    </w:r>
    <w: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3E4" w14:textId="77777777" w:rsidR="00873176" w:rsidRDefault="008F2A6A">
    <w:pPr>
      <w:spacing w:after="0" w:line="259" w:lineRule="auto"/>
      <w:ind w:left="0" w:right="51" w:firstLine="0"/>
      <w:jc w:val="right"/>
    </w:pPr>
    <w:r>
      <w:t xml:space="preserve">- </w:t>
    </w:r>
    <w:r>
      <w:fldChar w:fldCharType="begin"/>
    </w:r>
    <w:r>
      <w:instrText xml:space="preserve"> PAGE   \* MERGEFORMAT </w:instrText>
    </w:r>
    <w:r>
      <w:fldChar w:fldCharType="separate"/>
    </w:r>
    <w:r>
      <w:t>2</w:t>
    </w:r>
    <w:r>
      <w:fldChar w:fldCharType="end"/>
    </w:r>
    <w: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A4B" w14:textId="77777777" w:rsidR="00873176" w:rsidRDefault="0087317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05AB1"/>
    <w:multiLevelType w:val="hybridMultilevel"/>
    <w:tmpl w:val="071073FA"/>
    <w:lvl w:ilvl="0" w:tplc="D03412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F20B8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BE59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3048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E646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E86E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8E96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7685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4474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76"/>
    <w:rsid w:val="00056D6A"/>
    <w:rsid w:val="00407834"/>
    <w:rsid w:val="00445D5A"/>
    <w:rsid w:val="00873176"/>
    <w:rsid w:val="008F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AC6E"/>
  <w15:docId w15:val="{3639DB54-12A8-46AE-8E8E-89DBFF2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4093" w:right="58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562"/>
      <w:outlineLvl w:val="0"/>
    </w:pPr>
    <w:rPr>
      <w:rFonts w:ascii="Times New Roman" w:eastAsia="Times New Roman" w:hAnsi="Times New Roman" w:cs="Times New Roman"/>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9981</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Rees</dc:creator>
  <cp:keywords/>
  <cp:lastModifiedBy>marc rees</cp:lastModifiedBy>
  <cp:revision>2</cp:revision>
  <dcterms:created xsi:type="dcterms:W3CDTF">2021-10-04T07:36:00Z</dcterms:created>
  <dcterms:modified xsi:type="dcterms:W3CDTF">2021-10-04T07:36:00Z</dcterms:modified>
</cp:coreProperties>
</file>